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ED7" w:rsidRPr="00CB798F" w:rsidRDefault="00157ED7" w:rsidP="00157ED7">
      <w:pPr>
        <w:spacing w:line="240" w:lineRule="auto"/>
        <w:rPr>
          <w:rFonts w:ascii="Times New Roman" w:hAnsi="Times New Roman" w:cs="Times New Roman"/>
          <w:b/>
          <w:sz w:val="24"/>
          <w:szCs w:val="24"/>
        </w:rPr>
      </w:pPr>
      <w:r w:rsidRPr="00CB798F">
        <w:rPr>
          <w:rFonts w:ascii="Times New Roman" w:hAnsi="Times New Roman" w:cs="Times New Roman"/>
          <w:b/>
          <w:sz w:val="24"/>
          <w:szCs w:val="24"/>
        </w:rPr>
        <w:t>RAZDJEL: 060</w:t>
      </w:r>
    </w:p>
    <w:p w:rsidR="00157ED7" w:rsidRPr="00CB798F" w:rsidRDefault="00157ED7" w:rsidP="00157ED7">
      <w:pPr>
        <w:spacing w:line="240" w:lineRule="auto"/>
        <w:rPr>
          <w:rFonts w:ascii="Times New Roman" w:hAnsi="Times New Roman" w:cs="Times New Roman"/>
          <w:b/>
          <w:sz w:val="24"/>
          <w:szCs w:val="24"/>
        </w:rPr>
      </w:pPr>
      <w:r w:rsidRPr="00CB798F">
        <w:rPr>
          <w:rFonts w:ascii="Times New Roman" w:hAnsi="Times New Roman" w:cs="Times New Roman"/>
          <w:b/>
          <w:sz w:val="24"/>
          <w:szCs w:val="24"/>
        </w:rPr>
        <w:t>GLAVA: 06035</w:t>
      </w:r>
    </w:p>
    <w:p w:rsidR="00157ED7" w:rsidRPr="00CB798F" w:rsidRDefault="00157ED7" w:rsidP="00A6255B">
      <w:pPr>
        <w:spacing w:line="240" w:lineRule="auto"/>
        <w:rPr>
          <w:rFonts w:ascii="Times New Roman" w:hAnsi="Times New Roman" w:cs="Times New Roman"/>
          <w:b/>
          <w:sz w:val="24"/>
          <w:szCs w:val="24"/>
        </w:rPr>
      </w:pPr>
      <w:r w:rsidRPr="00CB798F">
        <w:rPr>
          <w:rFonts w:ascii="Times New Roman" w:hAnsi="Times New Roman" w:cs="Times New Roman"/>
          <w:b/>
          <w:sz w:val="24"/>
          <w:szCs w:val="24"/>
        </w:rPr>
        <w:t>NAZIV: HRVATSKA AGENCIJA ZA POLJOPRIVREDU I HRANU</w:t>
      </w:r>
    </w:p>
    <w:p w:rsidR="00210218" w:rsidRPr="00CB798F" w:rsidRDefault="00210218" w:rsidP="00624C16">
      <w:pPr>
        <w:spacing w:line="240" w:lineRule="auto"/>
        <w:jc w:val="center"/>
        <w:rPr>
          <w:rFonts w:ascii="Times New Roman" w:hAnsi="Times New Roman" w:cs="Times New Roman"/>
          <w:b/>
          <w:sz w:val="24"/>
          <w:szCs w:val="24"/>
        </w:rPr>
      </w:pPr>
    </w:p>
    <w:p w:rsidR="00CA12E2" w:rsidRPr="00CB798F" w:rsidRDefault="00F471E7" w:rsidP="00624C16">
      <w:pPr>
        <w:spacing w:line="240" w:lineRule="auto"/>
        <w:jc w:val="center"/>
        <w:rPr>
          <w:rFonts w:ascii="Times New Roman" w:hAnsi="Times New Roman" w:cs="Times New Roman"/>
          <w:b/>
          <w:sz w:val="24"/>
          <w:szCs w:val="24"/>
        </w:rPr>
      </w:pPr>
      <w:r w:rsidRPr="00CB798F">
        <w:rPr>
          <w:rFonts w:ascii="Times New Roman" w:hAnsi="Times New Roman" w:cs="Times New Roman"/>
          <w:b/>
          <w:sz w:val="24"/>
          <w:szCs w:val="24"/>
        </w:rPr>
        <w:t xml:space="preserve">OBRAZLOŽENJE OPĆEG DIJELA </w:t>
      </w:r>
      <w:r w:rsidR="00847759" w:rsidRPr="00CB798F">
        <w:rPr>
          <w:rFonts w:ascii="Times New Roman" w:hAnsi="Times New Roman" w:cs="Times New Roman"/>
          <w:b/>
          <w:sz w:val="24"/>
          <w:szCs w:val="24"/>
        </w:rPr>
        <w:t>IZVJEŠTAJA O IZVRŠENJU FINANCIJSKOG PLANA</w:t>
      </w:r>
    </w:p>
    <w:p w:rsidR="00B7793B" w:rsidRPr="00CB798F" w:rsidRDefault="00B7793B" w:rsidP="00624C16">
      <w:pPr>
        <w:spacing w:line="240" w:lineRule="auto"/>
        <w:jc w:val="center"/>
        <w:rPr>
          <w:rFonts w:ascii="Times New Roman" w:hAnsi="Times New Roman" w:cs="Times New Roman"/>
          <w:b/>
          <w:sz w:val="24"/>
          <w:szCs w:val="24"/>
        </w:rPr>
      </w:pPr>
    </w:p>
    <w:p w:rsidR="00210218" w:rsidRPr="00CB798F" w:rsidRDefault="00847759"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Obrazloženje općeg dijela polugodišnjeg izvještaja o izvršenju financijskog plana Hrvatske agencije za poljoprivredu i hranu sukladno članku 43. Pravilnika sadrži:</w:t>
      </w:r>
    </w:p>
    <w:p w:rsidR="00847759" w:rsidRPr="00CB798F" w:rsidRDefault="00847759"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 obrazloženje ostvarenja prihoda i rashoda, primitaka i izdataka u izvještajnom razdoblju</w:t>
      </w:r>
    </w:p>
    <w:p w:rsidR="00847759" w:rsidRPr="00CB798F" w:rsidRDefault="00847759"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 obrazloženje ostvarenog prijenosa sredstava iz prethodne godine i prijenosa sredstava u slijedeću godinu</w:t>
      </w:r>
    </w:p>
    <w:p w:rsidR="00F471E7" w:rsidRDefault="00847759" w:rsidP="00624C16">
      <w:pPr>
        <w:spacing w:line="240" w:lineRule="auto"/>
        <w:jc w:val="both"/>
        <w:rPr>
          <w:rFonts w:ascii="Times New Roman" w:hAnsi="Times New Roman" w:cs="Times New Roman"/>
          <w:b/>
          <w:sz w:val="24"/>
          <w:szCs w:val="24"/>
        </w:rPr>
      </w:pPr>
      <w:r w:rsidRPr="00CB798F">
        <w:rPr>
          <w:rFonts w:ascii="Times New Roman" w:hAnsi="Times New Roman" w:cs="Times New Roman"/>
          <w:b/>
          <w:sz w:val="24"/>
          <w:szCs w:val="24"/>
        </w:rPr>
        <w:t>OBRAZLOŽENJE OSTVARENJA PRIHODA I RASHODA, PRIMITAKA I IZDATAKA OD 01.01.202</w:t>
      </w:r>
      <w:r w:rsidR="00410259">
        <w:rPr>
          <w:rFonts w:ascii="Times New Roman" w:hAnsi="Times New Roman" w:cs="Times New Roman"/>
          <w:b/>
          <w:sz w:val="24"/>
          <w:szCs w:val="24"/>
        </w:rPr>
        <w:t>4</w:t>
      </w:r>
      <w:r w:rsidRPr="00CB798F">
        <w:rPr>
          <w:rFonts w:ascii="Times New Roman" w:hAnsi="Times New Roman" w:cs="Times New Roman"/>
          <w:b/>
          <w:sz w:val="24"/>
          <w:szCs w:val="24"/>
        </w:rPr>
        <w:t xml:space="preserve">. – </w:t>
      </w:r>
      <w:r w:rsidR="00D12F13">
        <w:rPr>
          <w:rFonts w:ascii="Times New Roman" w:hAnsi="Times New Roman" w:cs="Times New Roman"/>
          <w:b/>
          <w:sz w:val="24"/>
          <w:szCs w:val="24"/>
        </w:rPr>
        <w:t>31.12.202</w:t>
      </w:r>
      <w:r w:rsidR="00410259">
        <w:rPr>
          <w:rFonts w:ascii="Times New Roman" w:hAnsi="Times New Roman" w:cs="Times New Roman"/>
          <w:b/>
          <w:sz w:val="24"/>
          <w:szCs w:val="24"/>
        </w:rPr>
        <w:t>4</w:t>
      </w:r>
      <w:r w:rsidRPr="00CB798F">
        <w:rPr>
          <w:rFonts w:ascii="Times New Roman" w:hAnsi="Times New Roman" w:cs="Times New Roman"/>
          <w:b/>
          <w:sz w:val="24"/>
          <w:szCs w:val="24"/>
        </w:rPr>
        <w:t>.</w:t>
      </w:r>
    </w:p>
    <w:p w:rsidR="00AA0DFE" w:rsidRPr="00CB798F" w:rsidRDefault="00AA0DFE" w:rsidP="00624C16">
      <w:pPr>
        <w:spacing w:line="240" w:lineRule="auto"/>
        <w:jc w:val="both"/>
        <w:rPr>
          <w:rFonts w:ascii="Times New Roman" w:hAnsi="Times New Roman" w:cs="Times New Roman"/>
          <w:b/>
          <w:sz w:val="24"/>
          <w:szCs w:val="24"/>
        </w:rPr>
      </w:pPr>
      <w:r>
        <w:rPr>
          <w:rFonts w:ascii="Times New Roman" w:hAnsi="Times New Roman" w:cs="Times New Roman"/>
          <w:b/>
          <w:sz w:val="24"/>
          <w:szCs w:val="24"/>
        </w:rPr>
        <w:t>PRIHODI I PRIMITCI</w:t>
      </w:r>
    </w:p>
    <w:p w:rsidR="00847759" w:rsidRPr="00CB798F" w:rsidRDefault="00847759"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Ukupno planirani prihodi poslovanja u 202</w:t>
      </w:r>
      <w:r w:rsidR="00410259">
        <w:rPr>
          <w:rFonts w:ascii="Times New Roman" w:hAnsi="Times New Roman" w:cs="Times New Roman"/>
          <w:sz w:val="24"/>
          <w:szCs w:val="24"/>
        </w:rPr>
        <w:t>4</w:t>
      </w:r>
      <w:r w:rsidRPr="00CB798F">
        <w:rPr>
          <w:rFonts w:ascii="Times New Roman" w:hAnsi="Times New Roman" w:cs="Times New Roman"/>
          <w:sz w:val="24"/>
          <w:szCs w:val="24"/>
        </w:rPr>
        <w:t>. godini iznos</w:t>
      </w:r>
      <w:r w:rsidR="001D0226">
        <w:rPr>
          <w:rFonts w:ascii="Times New Roman" w:hAnsi="Times New Roman" w:cs="Times New Roman"/>
          <w:sz w:val="24"/>
          <w:szCs w:val="24"/>
        </w:rPr>
        <w:t>ili su</w:t>
      </w:r>
      <w:r w:rsidRPr="00CB798F">
        <w:rPr>
          <w:rFonts w:ascii="Times New Roman" w:hAnsi="Times New Roman" w:cs="Times New Roman"/>
          <w:sz w:val="24"/>
          <w:szCs w:val="24"/>
        </w:rPr>
        <w:t xml:space="preserve"> </w:t>
      </w:r>
      <w:r w:rsidR="00410259">
        <w:rPr>
          <w:rFonts w:ascii="Times New Roman" w:hAnsi="Times New Roman" w:cs="Times New Roman"/>
          <w:sz w:val="24"/>
          <w:szCs w:val="24"/>
        </w:rPr>
        <w:t>22.625.994</w:t>
      </w:r>
      <w:r w:rsidRPr="00CB798F">
        <w:rPr>
          <w:rFonts w:ascii="Times New Roman" w:hAnsi="Times New Roman" w:cs="Times New Roman"/>
          <w:sz w:val="24"/>
          <w:szCs w:val="24"/>
        </w:rPr>
        <w:t xml:space="preserve"> EUR. Izvršenje na dan </w:t>
      </w:r>
      <w:r w:rsidR="00D12F13">
        <w:rPr>
          <w:rFonts w:ascii="Times New Roman" w:hAnsi="Times New Roman" w:cs="Times New Roman"/>
          <w:sz w:val="24"/>
          <w:szCs w:val="24"/>
        </w:rPr>
        <w:t>31.12.202</w:t>
      </w:r>
      <w:r w:rsidR="00410259">
        <w:rPr>
          <w:rFonts w:ascii="Times New Roman" w:hAnsi="Times New Roman" w:cs="Times New Roman"/>
          <w:sz w:val="24"/>
          <w:szCs w:val="24"/>
        </w:rPr>
        <w:t>4</w:t>
      </w:r>
      <w:r w:rsidRPr="00CB798F">
        <w:rPr>
          <w:rFonts w:ascii="Times New Roman" w:hAnsi="Times New Roman" w:cs="Times New Roman"/>
          <w:sz w:val="24"/>
          <w:szCs w:val="24"/>
        </w:rPr>
        <w:t xml:space="preserve">. godine iznosi </w:t>
      </w:r>
      <w:r w:rsidR="00410259">
        <w:rPr>
          <w:rFonts w:ascii="Times New Roman" w:hAnsi="Times New Roman" w:cs="Times New Roman"/>
          <w:sz w:val="24"/>
          <w:szCs w:val="24"/>
        </w:rPr>
        <w:t>20.636.944,53 EUR</w:t>
      </w:r>
      <w:r w:rsidRPr="00CB798F">
        <w:rPr>
          <w:rFonts w:ascii="Times New Roman" w:hAnsi="Times New Roman" w:cs="Times New Roman"/>
          <w:sz w:val="24"/>
          <w:szCs w:val="24"/>
        </w:rPr>
        <w:t xml:space="preserve"> </w:t>
      </w:r>
      <w:r w:rsidR="00D12F13">
        <w:rPr>
          <w:rFonts w:ascii="Times New Roman" w:hAnsi="Times New Roman" w:cs="Times New Roman"/>
          <w:sz w:val="24"/>
          <w:szCs w:val="24"/>
        </w:rPr>
        <w:t>–</w:t>
      </w:r>
      <w:r w:rsidRPr="00CB798F">
        <w:rPr>
          <w:rFonts w:ascii="Times New Roman" w:hAnsi="Times New Roman" w:cs="Times New Roman"/>
          <w:sz w:val="24"/>
          <w:szCs w:val="24"/>
        </w:rPr>
        <w:t xml:space="preserve"> </w:t>
      </w:r>
      <w:r w:rsidR="00410259">
        <w:rPr>
          <w:rFonts w:ascii="Times New Roman" w:hAnsi="Times New Roman" w:cs="Times New Roman"/>
          <w:sz w:val="24"/>
          <w:szCs w:val="24"/>
        </w:rPr>
        <w:t>91,21</w:t>
      </w:r>
      <w:r w:rsidRPr="00CB798F">
        <w:rPr>
          <w:rFonts w:ascii="Times New Roman" w:hAnsi="Times New Roman" w:cs="Times New Roman"/>
          <w:sz w:val="24"/>
          <w:szCs w:val="24"/>
        </w:rPr>
        <w:t>%.</w:t>
      </w:r>
    </w:p>
    <w:p w:rsidR="0055613F" w:rsidRPr="00CB798F" w:rsidRDefault="009E3C31"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Struktura prihoda Hrvatske agencije za poljoprivredu i hranu je:</w:t>
      </w:r>
    </w:p>
    <w:p w:rsidR="00CB798F" w:rsidRPr="00CB798F" w:rsidRDefault="00CB798F" w:rsidP="00516C8E">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t>Izvor 1</w:t>
      </w:r>
      <w:r>
        <w:rPr>
          <w:rFonts w:ascii="Times New Roman" w:hAnsi="Times New Roman" w:cs="Times New Roman"/>
          <w:b/>
          <w:color w:val="000000"/>
          <w:sz w:val="24"/>
          <w:szCs w:val="24"/>
        </w:rPr>
        <w:t xml:space="preserve"> </w:t>
      </w:r>
      <w:r w:rsidRPr="00CB798F">
        <w:rPr>
          <w:rFonts w:ascii="Times New Roman" w:hAnsi="Times New Roman" w:cs="Times New Roman"/>
          <w:b/>
          <w:color w:val="000000"/>
          <w:sz w:val="24"/>
          <w:szCs w:val="24"/>
        </w:rPr>
        <w:t>Opći prihodi i primici</w:t>
      </w:r>
    </w:p>
    <w:p w:rsidR="00410259"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U izvor financiranja 1 Opći prihodi i primici Agencija uključuje prihode koje ostvari iz državnog proračuna, a koje planira u okviru podskupine 671 Prihodi iz nadležnog proračuna za financiranje redovne djelatnosti proračunskih korisnika.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obuhvaća: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11 Opći prihodi i primici – </w:t>
      </w:r>
      <w:r w:rsidR="00122F74">
        <w:rPr>
          <w:rFonts w:ascii="Times New Roman" w:hAnsi="Times New Roman" w:cs="Times New Roman"/>
          <w:color w:val="000000"/>
          <w:sz w:val="24"/>
          <w:szCs w:val="24"/>
        </w:rPr>
        <w:t xml:space="preserve">od ukupno planiranih </w:t>
      </w:r>
      <w:r w:rsidRPr="00D12F13">
        <w:rPr>
          <w:rFonts w:ascii="Times New Roman" w:hAnsi="Times New Roman" w:cs="Times New Roman"/>
          <w:color w:val="000000"/>
          <w:sz w:val="24"/>
          <w:szCs w:val="24"/>
        </w:rPr>
        <w:t xml:space="preserve">prihoda </w:t>
      </w:r>
      <w:r w:rsidR="00122F74">
        <w:rPr>
          <w:rFonts w:ascii="Times New Roman" w:hAnsi="Times New Roman" w:cs="Times New Roman"/>
          <w:color w:val="000000"/>
          <w:sz w:val="24"/>
          <w:szCs w:val="24"/>
        </w:rPr>
        <w:t xml:space="preserve">u iznosu od </w:t>
      </w:r>
      <w:r w:rsidR="00410259">
        <w:rPr>
          <w:rFonts w:ascii="Times New Roman" w:hAnsi="Times New Roman" w:cs="Times New Roman"/>
          <w:color w:val="000000"/>
          <w:sz w:val="24"/>
          <w:szCs w:val="24"/>
        </w:rPr>
        <w:t>17.785.899</w:t>
      </w:r>
      <w:r w:rsidRPr="00D12F13">
        <w:rPr>
          <w:rFonts w:ascii="Times New Roman" w:hAnsi="Times New Roman" w:cs="Times New Roman"/>
          <w:color w:val="000000"/>
          <w:sz w:val="24"/>
          <w:szCs w:val="24"/>
        </w:rPr>
        <w:t xml:space="preserve"> EUR</w:t>
      </w:r>
      <w:r w:rsidR="00410259">
        <w:rPr>
          <w:rFonts w:ascii="Times New Roman" w:hAnsi="Times New Roman" w:cs="Times New Roman"/>
          <w:color w:val="000000"/>
          <w:sz w:val="24"/>
          <w:szCs w:val="24"/>
        </w:rPr>
        <w:t>,</w:t>
      </w:r>
      <w:r w:rsidRPr="00D12F13">
        <w:rPr>
          <w:rFonts w:ascii="Times New Roman" w:hAnsi="Times New Roman" w:cs="Times New Roman"/>
          <w:color w:val="000000"/>
          <w:sz w:val="24"/>
          <w:szCs w:val="24"/>
        </w:rPr>
        <w:t xml:space="preserve"> izvršeno je </w:t>
      </w:r>
      <w:r w:rsidR="00410259">
        <w:rPr>
          <w:rFonts w:ascii="Times New Roman" w:hAnsi="Times New Roman" w:cs="Times New Roman"/>
          <w:color w:val="000000"/>
          <w:sz w:val="24"/>
          <w:szCs w:val="24"/>
        </w:rPr>
        <w:t>16.967.397,85</w:t>
      </w:r>
      <w:r w:rsidRPr="00D12F13">
        <w:rPr>
          <w:rFonts w:ascii="Times New Roman" w:hAnsi="Times New Roman" w:cs="Times New Roman"/>
          <w:color w:val="000000"/>
          <w:sz w:val="24"/>
          <w:szCs w:val="24"/>
        </w:rPr>
        <w:t xml:space="preserve"> EUR – </w:t>
      </w:r>
      <w:r w:rsidR="00410259">
        <w:rPr>
          <w:rFonts w:ascii="Times New Roman" w:hAnsi="Times New Roman" w:cs="Times New Roman"/>
          <w:color w:val="000000"/>
          <w:sz w:val="24"/>
          <w:szCs w:val="24"/>
        </w:rPr>
        <w:t>95,40</w:t>
      </w:r>
      <w:r w:rsidRPr="00D12F13">
        <w:rPr>
          <w:rFonts w:ascii="Times New Roman" w:hAnsi="Times New Roman" w:cs="Times New Roman"/>
          <w:color w:val="000000"/>
          <w:sz w:val="24"/>
          <w:szCs w:val="24"/>
        </w:rPr>
        <w:t>%. Vrijednosno najznačajniji prihodi odnos</w:t>
      </w:r>
      <w:r w:rsidR="00122F74">
        <w:rPr>
          <w:rFonts w:ascii="Times New Roman" w:hAnsi="Times New Roman" w:cs="Times New Roman"/>
          <w:color w:val="000000"/>
          <w:sz w:val="24"/>
          <w:szCs w:val="24"/>
        </w:rPr>
        <w:t>ili su</w:t>
      </w:r>
      <w:r w:rsidRPr="00D12F13">
        <w:rPr>
          <w:rFonts w:ascii="Times New Roman" w:hAnsi="Times New Roman" w:cs="Times New Roman"/>
          <w:color w:val="000000"/>
          <w:sz w:val="24"/>
          <w:szCs w:val="24"/>
        </w:rPr>
        <w:t xml:space="preserve"> se na prihode za plaće za redovan rad i pripadajuće doprinose. Prihodi iz nadležnog proračuna za financiranje rashoda razreda 3 izvršeni su u iznosu od </w:t>
      </w:r>
      <w:r w:rsidR="00EE7A63">
        <w:rPr>
          <w:rFonts w:ascii="Times New Roman" w:hAnsi="Times New Roman" w:cs="Times New Roman"/>
          <w:color w:val="000000"/>
          <w:sz w:val="24"/>
          <w:szCs w:val="24"/>
        </w:rPr>
        <w:t>16.563.838,48</w:t>
      </w:r>
      <w:r w:rsidRPr="00D12F13">
        <w:rPr>
          <w:rFonts w:ascii="Times New Roman" w:hAnsi="Times New Roman" w:cs="Times New Roman"/>
          <w:color w:val="000000"/>
          <w:sz w:val="24"/>
          <w:szCs w:val="24"/>
        </w:rPr>
        <w:t xml:space="preserve"> EUR, a prihodi iz nadležnog proračuna za financiranje razreda 4 izvršeni su u iznosu od </w:t>
      </w:r>
      <w:r w:rsidR="00EE7A63">
        <w:rPr>
          <w:rFonts w:ascii="Times New Roman" w:hAnsi="Times New Roman" w:cs="Times New Roman"/>
          <w:color w:val="000000"/>
          <w:sz w:val="24"/>
          <w:szCs w:val="24"/>
        </w:rPr>
        <w:t>475.169,11</w:t>
      </w:r>
      <w:r w:rsidRPr="00D12F13">
        <w:rPr>
          <w:rFonts w:ascii="Times New Roman" w:hAnsi="Times New Roman" w:cs="Times New Roman"/>
          <w:color w:val="000000"/>
          <w:sz w:val="24"/>
          <w:szCs w:val="24"/>
        </w:rPr>
        <w:t xml:space="preserve"> EUR.</w:t>
      </w:r>
    </w:p>
    <w:p w:rsidR="00D12F13" w:rsidRPr="00D12F13" w:rsidRDefault="00D12F13" w:rsidP="006462FC">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Izvor 12 Sredstva učešća za pomoći - unutar ovog izvora planira</w:t>
      </w:r>
      <w:r w:rsidR="00122F74">
        <w:rPr>
          <w:rFonts w:ascii="Times New Roman" w:hAnsi="Times New Roman" w:cs="Times New Roman"/>
          <w:color w:val="000000"/>
          <w:sz w:val="24"/>
          <w:szCs w:val="24"/>
        </w:rPr>
        <w:t>na je</w:t>
      </w:r>
      <w:r w:rsidRPr="00D12F13">
        <w:rPr>
          <w:rFonts w:ascii="Times New Roman" w:hAnsi="Times New Roman" w:cs="Times New Roman"/>
          <w:color w:val="000000"/>
          <w:sz w:val="24"/>
          <w:szCs w:val="24"/>
        </w:rPr>
        <w:t xml:space="preserve"> nacionaln</w:t>
      </w:r>
      <w:r w:rsidR="00122F74">
        <w:rPr>
          <w:rFonts w:ascii="Times New Roman" w:hAnsi="Times New Roman" w:cs="Times New Roman"/>
          <w:color w:val="000000"/>
          <w:sz w:val="24"/>
          <w:szCs w:val="24"/>
        </w:rPr>
        <w:t>a</w:t>
      </w:r>
      <w:r w:rsidRPr="00D12F13">
        <w:rPr>
          <w:rFonts w:ascii="Times New Roman" w:hAnsi="Times New Roman" w:cs="Times New Roman"/>
          <w:color w:val="000000"/>
          <w:sz w:val="24"/>
          <w:szCs w:val="24"/>
        </w:rPr>
        <w:t xml:space="preserve"> komponent</w:t>
      </w:r>
      <w:r w:rsidR="00122F74">
        <w:rPr>
          <w:rFonts w:ascii="Times New Roman" w:hAnsi="Times New Roman" w:cs="Times New Roman"/>
          <w:color w:val="000000"/>
          <w:sz w:val="24"/>
          <w:szCs w:val="24"/>
        </w:rPr>
        <w:t>a</w:t>
      </w:r>
      <w:r w:rsidRPr="00D12F13">
        <w:rPr>
          <w:rFonts w:ascii="Times New Roman" w:hAnsi="Times New Roman" w:cs="Times New Roman"/>
          <w:color w:val="000000"/>
          <w:sz w:val="24"/>
          <w:szCs w:val="24"/>
        </w:rPr>
        <w:t xml:space="preserve"> kod provedbe projekta koji se sufinanciraju iz sredstva EU. Plan </w:t>
      </w:r>
      <w:r w:rsidR="00122F74">
        <w:rPr>
          <w:rFonts w:ascii="Times New Roman" w:hAnsi="Times New Roman" w:cs="Times New Roman"/>
          <w:color w:val="000000"/>
          <w:sz w:val="24"/>
          <w:szCs w:val="24"/>
        </w:rPr>
        <w:t xml:space="preserve">sredstva iznosila su </w:t>
      </w:r>
      <w:r w:rsidR="00EE7A63">
        <w:rPr>
          <w:rFonts w:ascii="Times New Roman" w:hAnsi="Times New Roman" w:cs="Times New Roman"/>
          <w:color w:val="000000"/>
          <w:sz w:val="24"/>
          <w:szCs w:val="24"/>
        </w:rPr>
        <w:t>63.784</w:t>
      </w:r>
      <w:r w:rsidRPr="00D12F13">
        <w:rPr>
          <w:rFonts w:ascii="Times New Roman" w:hAnsi="Times New Roman" w:cs="Times New Roman"/>
          <w:color w:val="000000"/>
          <w:sz w:val="24"/>
          <w:szCs w:val="24"/>
        </w:rPr>
        <w:t xml:space="preserve"> EUR</w:t>
      </w:r>
      <w:r w:rsidR="00EE7A63">
        <w:rPr>
          <w:rFonts w:ascii="Times New Roman" w:hAnsi="Times New Roman" w:cs="Times New Roman"/>
          <w:color w:val="000000"/>
          <w:sz w:val="24"/>
          <w:szCs w:val="24"/>
        </w:rPr>
        <w:t>, a</w:t>
      </w:r>
      <w:r w:rsidRPr="00D12F13">
        <w:rPr>
          <w:rFonts w:ascii="Times New Roman" w:hAnsi="Times New Roman" w:cs="Times New Roman"/>
          <w:color w:val="000000"/>
          <w:sz w:val="24"/>
          <w:szCs w:val="24"/>
        </w:rPr>
        <w:t xml:space="preserve"> izvršeno je </w:t>
      </w:r>
      <w:r w:rsidR="00EE7A63">
        <w:rPr>
          <w:rFonts w:ascii="Times New Roman" w:hAnsi="Times New Roman" w:cs="Times New Roman"/>
          <w:color w:val="000000"/>
          <w:sz w:val="24"/>
          <w:szCs w:val="24"/>
        </w:rPr>
        <w:t>19.862,70</w:t>
      </w:r>
      <w:r w:rsidRPr="00D12F13">
        <w:rPr>
          <w:rFonts w:ascii="Times New Roman" w:hAnsi="Times New Roman" w:cs="Times New Roman"/>
          <w:color w:val="000000"/>
          <w:sz w:val="24"/>
          <w:szCs w:val="24"/>
        </w:rPr>
        <w:t xml:space="preserve"> EUR – </w:t>
      </w:r>
      <w:r w:rsidR="00EE7A63">
        <w:rPr>
          <w:rFonts w:ascii="Times New Roman" w:hAnsi="Times New Roman" w:cs="Times New Roman"/>
          <w:color w:val="000000"/>
          <w:sz w:val="24"/>
          <w:szCs w:val="24"/>
        </w:rPr>
        <w:t>31,14</w:t>
      </w:r>
      <w:r w:rsidRPr="00D12F13">
        <w:rPr>
          <w:rFonts w:ascii="Times New Roman" w:hAnsi="Times New Roman" w:cs="Times New Roman"/>
          <w:color w:val="000000"/>
          <w:sz w:val="24"/>
          <w:szCs w:val="24"/>
        </w:rPr>
        <w:t>% na aktivnostima</w:t>
      </w:r>
      <w:r w:rsidR="0061478A">
        <w:rPr>
          <w:rFonts w:ascii="Times New Roman" w:hAnsi="Times New Roman" w:cs="Times New Roman"/>
          <w:color w:val="000000"/>
          <w:sz w:val="24"/>
          <w:szCs w:val="24"/>
        </w:rPr>
        <w:t xml:space="preserve"> P</w:t>
      </w:r>
      <w:r w:rsidR="0061478A" w:rsidRPr="00122F74">
        <w:rPr>
          <w:rFonts w:ascii="Times New Roman" w:hAnsi="Times New Roman" w:cs="Times New Roman"/>
          <w:color w:val="000000"/>
          <w:sz w:val="24"/>
          <w:szCs w:val="24"/>
        </w:rPr>
        <w:t xml:space="preserve">rojekt uspostava koordiniranog sustava nadzora bolesti (u </w:t>
      </w:r>
      <w:r w:rsidR="0061478A">
        <w:rPr>
          <w:rFonts w:ascii="Times New Roman" w:hAnsi="Times New Roman" w:cs="Times New Roman"/>
          <w:color w:val="000000"/>
          <w:sz w:val="24"/>
          <w:szCs w:val="24"/>
        </w:rPr>
        <w:t>H</w:t>
      </w:r>
      <w:r w:rsidR="0061478A" w:rsidRPr="00122F74">
        <w:rPr>
          <w:rFonts w:ascii="Times New Roman" w:hAnsi="Times New Roman" w:cs="Times New Roman"/>
          <w:color w:val="000000"/>
          <w:sz w:val="24"/>
          <w:szCs w:val="24"/>
        </w:rPr>
        <w:t xml:space="preserve">rvatskoj) u skladu s </w:t>
      </w:r>
      <w:r w:rsidR="0061478A">
        <w:rPr>
          <w:rFonts w:ascii="Times New Roman" w:hAnsi="Times New Roman" w:cs="Times New Roman"/>
          <w:color w:val="000000"/>
          <w:sz w:val="24"/>
          <w:szCs w:val="24"/>
        </w:rPr>
        <w:t>OH</w:t>
      </w:r>
      <w:r w:rsidR="0061478A" w:rsidRPr="00122F74">
        <w:rPr>
          <w:rFonts w:ascii="Times New Roman" w:hAnsi="Times New Roman" w:cs="Times New Roman"/>
          <w:color w:val="000000"/>
          <w:sz w:val="24"/>
          <w:szCs w:val="24"/>
        </w:rPr>
        <w:t xml:space="preserve"> pristupom </w:t>
      </w:r>
      <w:r w:rsidR="0061478A">
        <w:rPr>
          <w:rFonts w:ascii="Times New Roman" w:hAnsi="Times New Roman" w:cs="Times New Roman"/>
          <w:color w:val="000000"/>
          <w:sz w:val="24"/>
          <w:szCs w:val="24"/>
        </w:rPr>
        <w:t>–</w:t>
      </w:r>
      <w:r w:rsidR="0061478A" w:rsidRPr="00122F74">
        <w:rPr>
          <w:rFonts w:ascii="Times New Roman" w:hAnsi="Times New Roman" w:cs="Times New Roman"/>
          <w:color w:val="000000"/>
          <w:sz w:val="24"/>
          <w:szCs w:val="24"/>
        </w:rPr>
        <w:t xml:space="preserve"> CROOH</w:t>
      </w:r>
      <w:r w:rsidR="0061478A">
        <w:rPr>
          <w:rFonts w:ascii="Times New Roman" w:hAnsi="Times New Roman" w:cs="Times New Roman"/>
          <w:color w:val="000000"/>
          <w:sz w:val="24"/>
          <w:szCs w:val="24"/>
        </w:rPr>
        <w:t>, P</w:t>
      </w:r>
      <w:r w:rsidR="0061478A" w:rsidRPr="0061478A">
        <w:rPr>
          <w:rFonts w:ascii="Times New Roman" w:hAnsi="Times New Roman" w:cs="Times New Roman"/>
          <w:color w:val="000000"/>
          <w:sz w:val="24"/>
          <w:szCs w:val="24"/>
        </w:rPr>
        <w:t>rojekt AIDA - platforma za inteligentnu prehranu</w:t>
      </w:r>
      <w:r w:rsidR="006462FC">
        <w:rPr>
          <w:rFonts w:ascii="Times New Roman" w:hAnsi="Times New Roman" w:cs="Times New Roman"/>
          <w:color w:val="000000"/>
          <w:sz w:val="24"/>
          <w:szCs w:val="24"/>
        </w:rPr>
        <w:t xml:space="preserve">, Projekt </w:t>
      </w:r>
      <w:proofErr w:type="spellStart"/>
      <w:r w:rsidR="006462FC">
        <w:rPr>
          <w:rFonts w:ascii="Times New Roman" w:hAnsi="Times New Roman" w:cs="Times New Roman"/>
          <w:color w:val="000000"/>
          <w:sz w:val="24"/>
          <w:szCs w:val="24"/>
        </w:rPr>
        <w:t>MoWaCLIM</w:t>
      </w:r>
      <w:proofErr w:type="spellEnd"/>
      <w:r w:rsidRPr="00D12F13">
        <w:rPr>
          <w:rFonts w:ascii="Times New Roman" w:hAnsi="Times New Roman" w:cs="Times New Roman"/>
          <w:color w:val="000000"/>
          <w:sz w:val="24"/>
          <w:szCs w:val="24"/>
        </w:rPr>
        <w:t xml:space="preserve"> i Otkrivanje i dijagnosticiranje štetnih organizama.</w:t>
      </w:r>
    </w:p>
    <w:p w:rsidR="00783F2F" w:rsidRPr="00D12F13" w:rsidRDefault="00D12F13" w:rsidP="00783F2F">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559 </w:t>
      </w:r>
      <w:r w:rsidR="008273F4">
        <w:rPr>
          <w:rFonts w:ascii="Times New Roman" w:hAnsi="Times New Roman" w:cs="Times New Roman"/>
          <w:color w:val="000000"/>
          <w:sz w:val="24"/>
          <w:szCs w:val="24"/>
        </w:rPr>
        <w:t xml:space="preserve">Refundacija iz pomoći EU - </w:t>
      </w:r>
      <w:r w:rsidRPr="00D12F13">
        <w:rPr>
          <w:rFonts w:ascii="Times New Roman" w:hAnsi="Times New Roman" w:cs="Times New Roman"/>
          <w:color w:val="000000"/>
          <w:sz w:val="24"/>
          <w:szCs w:val="24"/>
        </w:rPr>
        <w:t xml:space="preserve">Agencija koristi </w:t>
      </w:r>
      <w:r w:rsidR="00783F2F" w:rsidRPr="00D12F13">
        <w:rPr>
          <w:rFonts w:ascii="Times New Roman" w:hAnsi="Times New Roman" w:cs="Times New Roman"/>
          <w:color w:val="000000"/>
          <w:sz w:val="24"/>
          <w:szCs w:val="24"/>
        </w:rPr>
        <w:t>na aktivnostima</w:t>
      </w:r>
      <w:r w:rsidR="00783F2F">
        <w:rPr>
          <w:rFonts w:ascii="Times New Roman" w:hAnsi="Times New Roman" w:cs="Times New Roman"/>
          <w:color w:val="000000"/>
          <w:sz w:val="24"/>
          <w:szCs w:val="24"/>
        </w:rPr>
        <w:t xml:space="preserve"> P</w:t>
      </w:r>
      <w:r w:rsidR="00783F2F" w:rsidRPr="00122F74">
        <w:rPr>
          <w:rFonts w:ascii="Times New Roman" w:hAnsi="Times New Roman" w:cs="Times New Roman"/>
          <w:color w:val="000000"/>
          <w:sz w:val="24"/>
          <w:szCs w:val="24"/>
        </w:rPr>
        <w:t xml:space="preserve">rojekt uspostava koordiniranog sustava nadzora bolesti (u </w:t>
      </w:r>
      <w:r w:rsidR="00783F2F">
        <w:rPr>
          <w:rFonts w:ascii="Times New Roman" w:hAnsi="Times New Roman" w:cs="Times New Roman"/>
          <w:color w:val="000000"/>
          <w:sz w:val="24"/>
          <w:szCs w:val="24"/>
        </w:rPr>
        <w:t>H</w:t>
      </w:r>
      <w:r w:rsidR="00783F2F" w:rsidRPr="00122F74">
        <w:rPr>
          <w:rFonts w:ascii="Times New Roman" w:hAnsi="Times New Roman" w:cs="Times New Roman"/>
          <w:color w:val="000000"/>
          <w:sz w:val="24"/>
          <w:szCs w:val="24"/>
        </w:rPr>
        <w:t xml:space="preserve">rvatskoj) u skladu s </w:t>
      </w:r>
      <w:r w:rsidR="00783F2F">
        <w:rPr>
          <w:rFonts w:ascii="Times New Roman" w:hAnsi="Times New Roman" w:cs="Times New Roman"/>
          <w:color w:val="000000"/>
          <w:sz w:val="24"/>
          <w:szCs w:val="24"/>
        </w:rPr>
        <w:t>OH</w:t>
      </w:r>
      <w:r w:rsidR="00783F2F" w:rsidRPr="00122F74">
        <w:rPr>
          <w:rFonts w:ascii="Times New Roman" w:hAnsi="Times New Roman" w:cs="Times New Roman"/>
          <w:color w:val="000000"/>
          <w:sz w:val="24"/>
          <w:szCs w:val="24"/>
        </w:rPr>
        <w:t xml:space="preserve"> pristupom </w:t>
      </w:r>
      <w:r w:rsidR="00783F2F">
        <w:rPr>
          <w:rFonts w:ascii="Times New Roman" w:hAnsi="Times New Roman" w:cs="Times New Roman"/>
          <w:color w:val="000000"/>
          <w:sz w:val="24"/>
          <w:szCs w:val="24"/>
        </w:rPr>
        <w:t>–</w:t>
      </w:r>
      <w:r w:rsidR="00783F2F" w:rsidRPr="00122F74">
        <w:rPr>
          <w:rFonts w:ascii="Times New Roman" w:hAnsi="Times New Roman" w:cs="Times New Roman"/>
          <w:color w:val="000000"/>
          <w:sz w:val="24"/>
          <w:szCs w:val="24"/>
        </w:rPr>
        <w:t xml:space="preserve"> CROOH</w:t>
      </w:r>
      <w:r w:rsidR="00783F2F">
        <w:rPr>
          <w:rFonts w:ascii="Times New Roman" w:hAnsi="Times New Roman" w:cs="Times New Roman"/>
          <w:color w:val="000000"/>
          <w:sz w:val="24"/>
          <w:szCs w:val="24"/>
        </w:rPr>
        <w:t xml:space="preserve">, Projekt </w:t>
      </w:r>
      <w:proofErr w:type="spellStart"/>
      <w:r w:rsidR="00783F2F">
        <w:rPr>
          <w:rFonts w:ascii="Times New Roman" w:hAnsi="Times New Roman" w:cs="Times New Roman"/>
          <w:color w:val="000000"/>
          <w:sz w:val="24"/>
          <w:szCs w:val="24"/>
        </w:rPr>
        <w:t>MoWaCLIM</w:t>
      </w:r>
      <w:proofErr w:type="spellEnd"/>
      <w:r w:rsidR="00783F2F" w:rsidRPr="00D12F13">
        <w:rPr>
          <w:rFonts w:ascii="Times New Roman" w:hAnsi="Times New Roman" w:cs="Times New Roman"/>
          <w:color w:val="000000"/>
          <w:sz w:val="24"/>
          <w:szCs w:val="24"/>
        </w:rPr>
        <w:t xml:space="preserve"> i Otkrivanje i dijagnosticiranje štetnih organizama.</w:t>
      </w:r>
    </w:p>
    <w:p w:rsidR="00FE6BC2"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Plan</w:t>
      </w:r>
      <w:r w:rsidR="00FE6BC2">
        <w:rPr>
          <w:rFonts w:ascii="Times New Roman" w:hAnsi="Times New Roman" w:cs="Times New Roman"/>
          <w:color w:val="000000"/>
          <w:sz w:val="24"/>
          <w:szCs w:val="24"/>
        </w:rPr>
        <w:t xml:space="preserve"> je </w:t>
      </w:r>
      <w:r w:rsidRPr="00D12F13">
        <w:rPr>
          <w:rFonts w:ascii="Times New Roman" w:hAnsi="Times New Roman" w:cs="Times New Roman"/>
          <w:color w:val="000000"/>
          <w:sz w:val="24"/>
          <w:szCs w:val="24"/>
        </w:rPr>
        <w:t>iznosi</w:t>
      </w:r>
      <w:r w:rsidR="00FE6BC2">
        <w:rPr>
          <w:rFonts w:ascii="Times New Roman" w:hAnsi="Times New Roman" w:cs="Times New Roman"/>
          <w:color w:val="000000"/>
          <w:sz w:val="24"/>
          <w:szCs w:val="24"/>
        </w:rPr>
        <w:t>o</w:t>
      </w:r>
      <w:r w:rsidRPr="00D12F13">
        <w:rPr>
          <w:rFonts w:ascii="Times New Roman" w:hAnsi="Times New Roman" w:cs="Times New Roman"/>
          <w:color w:val="000000"/>
          <w:sz w:val="24"/>
          <w:szCs w:val="24"/>
        </w:rPr>
        <w:t xml:space="preserve"> </w:t>
      </w:r>
      <w:r w:rsidR="00FE6BC2">
        <w:rPr>
          <w:rFonts w:ascii="Times New Roman" w:hAnsi="Times New Roman" w:cs="Times New Roman"/>
          <w:color w:val="000000"/>
          <w:sz w:val="24"/>
          <w:szCs w:val="24"/>
        </w:rPr>
        <w:t>116.714</w:t>
      </w:r>
      <w:r w:rsidRPr="00D12F13">
        <w:rPr>
          <w:rFonts w:ascii="Times New Roman" w:hAnsi="Times New Roman" w:cs="Times New Roman"/>
          <w:color w:val="000000"/>
          <w:sz w:val="24"/>
          <w:szCs w:val="24"/>
        </w:rPr>
        <w:t xml:space="preserve"> EUR, </w:t>
      </w:r>
      <w:r w:rsidR="00FE6BC2">
        <w:rPr>
          <w:rFonts w:ascii="Times New Roman" w:hAnsi="Times New Roman" w:cs="Times New Roman"/>
          <w:color w:val="000000"/>
          <w:sz w:val="24"/>
          <w:szCs w:val="24"/>
        </w:rPr>
        <w:t xml:space="preserve">a </w:t>
      </w:r>
      <w:r w:rsidRPr="00D12F13">
        <w:rPr>
          <w:rFonts w:ascii="Times New Roman" w:hAnsi="Times New Roman" w:cs="Times New Roman"/>
          <w:color w:val="000000"/>
          <w:sz w:val="24"/>
          <w:szCs w:val="24"/>
        </w:rPr>
        <w:t xml:space="preserve">izvršeno je </w:t>
      </w:r>
      <w:r w:rsidR="00FE6BC2">
        <w:rPr>
          <w:rFonts w:ascii="Times New Roman" w:hAnsi="Times New Roman" w:cs="Times New Roman"/>
          <w:color w:val="000000"/>
          <w:sz w:val="24"/>
          <w:szCs w:val="24"/>
        </w:rPr>
        <w:t>51.47,04</w:t>
      </w:r>
      <w:r w:rsidRPr="00D12F13">
        <w:rPr>
          <w:rFonts w:ascii="Times New Roman" w:hAnsi="Times New Roman" w:cs="Times New Roman"/>
          <w:color w:val="000000"/>
          <w:sz w:val="24"/>
          <w:szCs w:val="24"/>
        </w:rPr>
        <w:t xml:space="preserve"> EUR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Ukupno izvršenje na skupini 67 Prihodi iz proračuna iznosi </w:t>
      </w:r>
      <w:r w:rsidR="00E31C3F">
        <w:rPr>
          <w:rFonts w:ascii="Times New Roman" w:hAnsi="Times New Roman" w:cs="Times New Roman"/>
          <w:color w:val="000000"/>
          <w:sz w:val="24"/>
          <w:szCs w:val="24"/>
        </w:rPr>
        <w:t>17</w:t>
      </w:r>
      <w:r w:rsidR="004E1B45">
        <w:rPr>
          <w:rFonts w:ascii="Times New Roman" w:hAnsi="Times New Roman" w:cs="Times New Roman"/>
          <w:color w:val="000000"/>
          <w:sz w:val="24"/>
          <w:szCs w:val="24"/>
        </w:rPr>
        <w:t>.</w:t>
      </w:r>
      <w:r w:rsidR="00E31C3F">
        <w:rPr>
          <w:rFonts w:ascii="Times New Roman" w:hAnsi="Times New Roman" w:cs="Times New Roman"/>
          <w:color w:val="000000"/>
          <w:sz w:val="24"/>
          <w:szCs w:val="24"/>
        </w:rPr>
        <w:t>039.007,59</w:t>
      </w:r>
      <w:r w:rsidRPr="00D12F13">
        <w:rPr>
          <w:rFonts w:ascii="Times New Roman" w:hAnsi="Times New Roman" w:cs="Times New Roman"/>
          <w:color w:val="000000"/>
          <w:sz w:val="24"/>
          <w:szCs w:val="24"/>
        </w:rPr>
        <w:t xml:space="preserve"> EUR.</w:t>
      </w:r>
    </w:p>
    <w:p w:rsidR="00E31C3F" w:rsidRDefault="00E31C3F" w:rsidP="00D12F13">
      <w:pPr>
        <w:spacing w:after="0" w:line="276" w:lineRule="auto"/>
        <w:jc w:val="both"/>
        <w:rPr>
          <w:rFonts w:ascii="Times New Roman" w:hAnsi="Times New Roman" w:cs="Times New Roman"/>
          <w:b/>
          <w:color w:val="000000"/>
          <w:sz w:val="24"/>
          <w:szCs w:val="24"/>
        </w:rPr>
      </w:pPr>
    </w:p>
    <w:p w:rsidR="00CB798F" w:rsidRPr="00CB798F" w:rsidRDefault="00CB798F" w:rsidP="00D12F13">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lastRenderedPageBreak/>
        <w:t xml:space="preserve">Izvor 31 Vlastiti prihodi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Ovaj izvor čine vlastiti prihodi – prihodi 6614 i 6615 – </w:t>
      </w:r>
      <w:r w:rsidR="00E31C3F">
        <w:rPr>
          <w:rFonts w:ascii="Times New Roman" w:hAnsi="Times New Roman" w:cs="Times New Roman"/>
          <w:color w:val="000000"/>
          <w:sz w:val="24"/>
          <w:szCs w:val="24"/>
        </w:rPr>
        <w:t xml:space="preserve">planirani </w:t>
      </w:r>
      <w:r w:rsidRPr="00D12F13">
        <w:rPr>
          <w:rFonts w:ascii="Times New Roman" w:hAnsi="Times New Roman" w:cs="Times New Roman"/>
          <w:color w:val="000000"/>
          <w:sz w:val="24"/>
          <w:szCs w:val="24"/>
        </w:rPr>
        <w:t xml:space="preserve"> prihod</w:t>
      </w:r>
      <w:r w:rsidR="00E31C3F">
        <w:rPr>
          <w:rFonts w:ascii="Times New Roman" w:hAnsi="Times New Roman" w:cs="Times New Roman"/>
          <w:color w:val="000000"/>
          <w:sz w:val="24"/>
          <w:szCs w:val="24"/>
        </w:rPr>
        <w:t>i</w:t>
      </w:r>
      <w:r w:rsidRPr="00D12F13">
        <w:rPr>
          <w:rFonts w:ascii="Times New Roman" w:hAnsi="Times New Roman" w:cs="Times New Roman"/>
          <w:color w:val="000000"/>
          <w:sz w:val="24"/>
          <w:szCs w:val="24"/>
        </w:rPr>
        <w:t xml:space="preserve"> u </w:t>
      </w:r>
      <w:r w:rsidR="00E31C3F">
        <w:rPr>
          <w:rFonts w:ascii="Times New Roman" w:hAnsi="Times New Roman" w:cs="Times New Roman"/>
          <w:color w:val="000000"/>
          <w:sz w:val="24"/>
          <w:szCs w:val="24"/>
        </w:rPr>
        <w:t>2024.</w:t>
      </w:r>
      <w:r w:rsidRPr="00D12F13">
        <w:rPr>
          <w:rFonts w:ascii="Times New Roman" w:hAnsi="Times New Roman" w:cs="Times New Roman"/>
          <w:color w:val="000000"/>
          <w:sz w:val="24"/>
          <w:szCs w:val="24"/>
        </w:rPr>
        <w:t xml:space="preserve"> godini iznosi</w:t>
      </w:r>
      <w:r w:rsidR="00E31C3F">
        <w:rPr>
          <w:rFonts w:ascii="Times New Roman" w:hAnsi="Times New Roman" w:cs="Times New Roman"/>
          <w:color w:val="000000"/>
          <w:sz w:val="24"/>
          <w:szCs w:val="24"/>
        </w:rPr>
        <w:t xml:space="preserve">li su </w:t>
      </w:r>
      <w:r w:rsidR="004F6BD3">
        <w:rPr>
          <w:rFonts w:ascii="Times New Roman" w:hAnsi="Times New Roman" w:cs="Times New Roman"/>
          <w:color w:val="000000"/>
          <w:sz w:val="24"/>
          <w:szCs w:val="24"/>
        </w:rPr>
        <w:t>646.137</w:t>
      </w:r>
      <w:r w:rsidRPr="00D12F13">
        <w:rPr>
          <w:rFonts w:ascii="Times New Roman" w:hAnsi="Times New Roman" w:cs="Times New Roman"/>
          <w:color w:val="000000"/>
          <w:sz w:val="24"/>
          <w:szCs w:val="24"/>
        </w:rPr>
        <w:t xml:space="preserve"> EUR</w:t>
      </w:r>
      <w:r w:rsidR="007F7A9B">
        <w:rPr>
          <w:rFonts w:ascii="Times New Roman" w:hAnsi="Times New Roman" w:cs="Times New Roman"/>
          <w:color w:val="000000"/>
          <w:sz w:val="24"/>
          <w:szCs w:val="24"/>
        </w:rPr>
        <w:t>,</w:t>
      </w:r>
      <w:r w:rsidR="004E1B45">
        <w:rPr>
          <w:rFonts w:ascii="Times New Roman" w:hAnsi="Times New Roman" w:cs="Times New Roman"/>
          <w:color w:val="000000"/>
          <w:sz w:val="24"/>
          <w:szCs w:val="24"/>
        </w:rPr>
        <w:t xml:space="preserve"> </w:t>
      </w:r>
      <w:r w:rsidR="007F7A9B">
        <w:rPr>
          <w:rFonts w:ascii="Times New Roman" w:hAnsi="Times New Roman" w:cs="Times New Roman"/>
          <w:color w:val="000000"/>
          <w:sz w:val="24"/>
          <w:szCs w:val="24"/>
        </w:rPr>
        <w:t xml:space="preserve">a </w:t>
      </w:r>
      <w:r w:rsidRPr="00D12F13">
        <w:rPr>
          <w:rFonts w:ascii="Times New Roman" w:hAnsi="Times New Roman" w:cs="Times New Roman"/>
          <w:color w:val="000000"/>
          <w:sz w:val="24"/>
          <w:szCs w:val="24"/>
        </w:rPr>
        <w:t xml:space="preserve"> naplaćeno</w:t>
      </w:r>
      <w:r w:rsidR="007F7A9B">
        <w:rPr>
          <w:rFonts w:ascii="Times New Roman" w:hAnsi="Times New Roman" w:cs="Times New Roman"/>
          <w:color w:val="000000"/>
          <w:sz w:val="24"/>
          <w:szCs w:val="24"/>
        </w:rPr>
        <w:t xml:space="preserve"> (realizirano)</w:t>
      </w:r>
      <w:r w:rsidRPr="00D12F13">
        <w:rPr>
          <w:rFonts w:ascii="Times New Roman" w:hAnsi="Times New Roman" w:cs="Times New Roman"/>
          <w:color w:val="000000"/>
          <w:sz w:val="24"/>
          <w:szCs w:val="24"/>
        </w:rPr>
        <w:t xml:space="preserve"> je </w:t>
      </w:r>
      <w:r w:rsidR="004E1B45">
        <w:rPr>
          <w:rFonts w:ascii="Times New Roman" w:hAnsi="Times New Roman" w:cs="Times New Roman"/>
          <w:color w:val="000000"/>
          <w:sz w:val="24"/>
          <w:szCs w:val="24"/>
        </w:rPr>
        <w:t>661.898,71</w:t>
      </w:r>
      <w:r w:rsidRPr="00D12F13">
        <w:rPr>
          <w:rFonts w:ascii="Times New Roman" w:hAnsi="Times New Roman" w:cs="Times New Roman"/>
          <w:color w:val="000000"/>
          <w:sz w:val="24"/>
          <w:szCs w:val="24"/>
        </w:rPr>
        <w:t xml:space="preserve"> EUR – </w:t>
      </w:r>
      <w:r w:rsidR="004E1B45">
        <w:rPr>
          <w:rFonts w:ascii="Times New Roman" w:hAnsi="Times New Roman" w:cs="Times New Roman"/>
          <w:color w:val="000000"/>
          <w:sz w:val="24"/>
          <w:szCs w:val="24"/>
        </w:rPr>
        <w:t>102,44</w:t>
      </w:r>
      <w:r w:rsidRPr="00D12F13">
        <w:rPr>
          <w:rFonts w:ascii="Times New Roman" w:hAnsi="Times New Roman" w:cs="Times New Roman"/>
          <w:color w:val="000000"/>
          <w:sz w:val="24"/>
          <w:szCs w:val="24"/>
        </w:rPr>
        <w:t>%. Iz 202</w:t>
      </w:r>
      <w:r w:rsidR="004E1B45">
        <w:rPr>
          <w:rFonts w:ascii="Times New Roman" w:hAnsi="Times New Roman" w:cs="Times New Roman"/>
          <w:color w:val="000000"/>
          <w:sz w:val="24"/>
          <w:szCs w:val="24"/>
        </w:rPr>
        <w:t>3</w:t>
      </w:r>
      <w:r w:rsidRPr="00D12F13">
        <w:rPr>
          <w:rFonts w:ascii="Times New Roman" w:hAnsi="Times New Roman" w:cs="Times New Roman"/>
          <w:color w:val="000000"/>
          <w:sz w:val="24"/>
          <w:szCs w:val="24"/>
        </w:rPr>
        <w:t xml:space="preserve">. godine preneseno je </w:t>
      </w:r>
      <w:r w:rsidR="004E1B45">
        <w:rPr>
          <w:rFonts w:ascii="Times New Roman" w:hAnsi="Times New Roman" w:cs="Times New Roman"/>
          <w:color w:val="000000"/>
          <w:sz w:val="24"/>
          <w:szCs w:val="24"/>
        </w:rPr>
        <w:t>218.432,42</w:t>
      </w:r>
      <w:r w:rsidRPr="00D12F13">
        <w:rPr>
          <w:rFonts w:ascii="Times New Roman" w:hAnsi="Times New Roman" w:cs="Times New Roman"/>
          <w:color w:val="000000"/>
          <w:sz w:val="24"/>
          <w:szCs w:val="24"/>
        </w:rPr>
        <w:t xml:space="preserve"> EUR neutrošenih prihoda</w:t>
      </w:r>
      <w:r w:rsidR="004E1B45">
        <w:rPr>
          <w:rFonts w:ascii="Times New Roman" w:hAnsi="Times New Roman" w:cs="Times New Roman"/>
          <w:color w:val="000000"/>
          <w:sz w:val="24"/>
          <w:szCs w:val="24"/>
        </w:rPr>
        <w:t>.</w:t>
      </w:r>
      <w:r w:rsidRPr="00D12F13">
        <w:rPr>
          <w:rFonts w:ascii="Times New Roman" w:hAnsi="Times New Roman" w:cs="Times New Roman"/>
          <w:color w:val="000000"/>
          <w:sz w:val="24"/>
          <w:szCs w:val="24"/>
        </w:rPr>
        <w:t xml:space="preserve"> Prihodi se evidentiraju na slijedećim kontima računskog plana: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6614 Prihodi od prodaje proizvoda i robe – naplaćeno </w:t>
      </w:r>
      <w:r w:rsidR="004E1B45">
        <w:rPr>
          <w:rFonts w:ascii="Times New Roman" w:hAnsi="Times New Roman" w:cs="Times New Roman"/>
          <w:color w:val="000000"/>
          <w:sz w:val="24"/>
          <w:szCs w:val="24"/>
        </w:rPr>
        <w:t>412.114,12</w:t>
      </w:r>
      <w:r w:rsidRPr="00D12F13">
        <w:rPr>
          <w:rFonts w:ascii="Times New Roman" w:hAnsi="Times New Roman" w:cs="Times New Roman"/>
          <w:color w:val="000000"/>
          <w:sz w:val="24"/>
          <w:szCs w:val="24"/>
        </w:rPr>
        <w:t xml:space="preserve"> EUR (prihodi sezonskog karaktera)</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6615 Prihodi od pruženih usluga – naplaćeno </w:t>
      </w:r>
      <w:r w:rsidR="004E1B45">
        <w:rPr>
          <w:rFonts w:ascii="Times New Roman" w:hAnsi="Times New Roman" w:cs="Times New Roman"/>
          <w:color w:val="000000"/>
          <w:sz w:val="24"/>
          <w:szCs w:val="24"/>
        </w:rPr>
        <w:t>249.784,59</w:t>
      </w:r>
      <w:r w:rsidRPr="00D12F13">
        <w:rPr>
          <w:rFonts w:ascii="Times New Roman" w:hAnsi="Times New Roman" w:cs="Times New Roman"/>
          <w:color w:val="000000"/>
          <w:sz w:val="24"/>
          <w:szCs w:val="24"/>
        </w:rPr>
        <w:t xml:space="preserve"> EUR</w:t>
      </w:r>
      <w:r w:rsidR="006E08C5">
        <w:rPr>
          <w:rFonts w:ascii="Times New Roman" w:hAnsi="Times New Roman" w:cs="Times New Roman"/>
          <w:color w:val="000000"/>
          <w:sz w:val="24"/>
          <w:szCs w:val="24"/>
        </w:rPr>
        <w:t>.</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Prihodi koji se evidentiraju u okviru konta 6614 Prihodi od prodaje proizvoda i robe odnose se na obavljanje djelatnosti istraživanja u području poljoprivrednih proizvoda, odnosno samostalno obavljanje znanstvene, stručne i općekorisne funkcije za Republiku Hrvatsku kada je neophodno da se proizvede određena količina poljoprivrednih proizvoda. Prodaju se poljoprivredni proizvodi koji se javljaju kao viškovi nakon provođenja stručnih istraživanja.  Prihodi od prodaje proizvoda i roba odnose se na prodaju voća (borovnica, jabuka, kruška, šljiva, trešnja i dr.)</w:t>
      </w:r>
      <w:r w:rsidR="004E1B45">
        <w:rPr>
          <w:rFonts w:ascii="Times New Roman" w:hAnsi="Times New Roman" w:cs="Times New Roman"/>
          <w:color w:val="000000"/>
          <w:sz w:val="24"/>
          <w:szCs w:val="24"/>
        </w:rPr>
        <w:t>,</w:t>
      </w:r>
      <w:r w:rsidRPr="00D12F13">
        <w:rPr>
          <w:rFonts w:ascii="Times New Roman" w:hAnsi="Times New Roman" w:cs="Times New Roman"/>
          <w:color w:val="000000"/>
          <w:sz w:val="24"/>
          <w:szCs w:val="24"/>
        </w:rPr>
        <w:t xml:space="preserve"> maslinova ulja, uljane repice, pšenice, kukuruza, soje, ječma te drugih poljoprivrednih kultura. Vrijednosno najznačajniji prihodi su ostvareni od prodaje merkantilne pšenice i kukuruza.</w:t>
      </w:r>
    </w:p>
    <w:p w:rsid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Prihodi koji se evidentiraju u okviru konta 6615 Prihodi od pruženih usluga odnose se na prihode koje Agencija ostvaruje od obavljanja usluga na tržištu i po tržišnim</w:t>
      </w:r>
      <w:r w:rsidR="004E1B45">
        <w:rPr>
          <w:rFonts w:ascii="Times New Roman" w:hAnsi="Times New Roman" w:cs="Times New Roman"/>
          <w:color w:val="000000"/>
          <w:sz w:val="24"/>
          <w:szCs w:val="24"/>
        </w:rPr>
        <w:t xml:space="preserve">. </w:t>
      </w:r>
      <w:r w:rsidRPr="00D12F13">
        <w:rPr>
          <w:rFonts w:ascii="Times New Roman" w:hAnsi="Times New Roman" w:cs="Times New Roman"/>
          <w:color w:val="000000"/>
          <w:sz w:val="24"/>
          <w:szCs w:val="24"/>
        </w:rPr>
        <w:t xml:space="preserve">Prihodi nastaju od laboratorijskih analiza, izlaska stručnih osoba na teren, nadzora nad sjemenskom proizvodnjom, nadzora nad nasadima i drugih uslužnih djelatnosti iz djelokruga Agencije. </w:t>
      </w:r>
    </w:p>
    <w:p w:rsidR="00420E2E" w:rsidRDefault="00420E2E" w:rsidP="00D12F13">
      <w:pP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prijenos u 2025. godinu ostaje 90.547,69 EUR.</w:t>
      </w:r>
    </w:p>
    <w:p w:rsidR="004E1B45" w:rsidRPr="00D12F13" w:rsidRDefault="004E1B45" w:rsidP="00D12F13">
      <w:pPr>
        <w:spacing w:after="0" w:line="276" w:lineRule="auto"/>
        <w:jc w:val="both"/>
        <w:rPr>
          <w:rFonts w:ascii="Times New Roman" w:hAnsi="Times New Roman" w:cs="Times New Roman"/>
          <w:color w:val="000000"/>
          <w:sz w:val="24"/>
          <w:szCs w:val="24"/>
        </w:rPr>
      </w:pPr>
    </w:p>
    <w:p w:rsidR="00CB798F" w:rsidRPr="00CB798F" w:rsidRDefault="00CB798F" w:rsidP="00516C8E">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t xml:space="preserve">Izvor 43 Ostali prihodi za posebne namjene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Izvor 43 – Ostali prihodi za posebne namjene – prihod 65268 – plan</w:t>
      </w:r>
      <w:r w:rsidR="004E1B45">
        <w:rPr>
          <w:rFonts w:ascii="Times New Roman" w:hAnsi="Times New Roman" w:cs="Times New Roman"/>
          <w:color w:val="000000"/>
          <w:sz w:val="24"/>
          <w:szCs w:val="24"/>
        </w:rPr>
        <w:t>irani</w:t>
      </w:r>
      <w:r w:rsidRPr="00D12F13">
        <w:rPr>
          <w:rFonts w:ascii="Times New Roman" w:hAnsi="Times New Roman" w:cs="Times New Roman"/>
          <w:color w:val="000000"/>
          <w:sz w:val="24"/>
          <w:szCs w:val="24"/>
        </w:rPr>
        <w:t xml:space="preserve"> prihod</w:t>
      </w:r>
      <w:r w:rsidR="004E1B45">
        <w:rPr>
          <w:rFonts w:ascii="Times New Roman" w:hAnsi="Times New Roman" w:cs="Times New Roman"/>
          <w:color w:val="000000"/>
          <w:sz w:val="24"/>
          <w:szCs w:val="24"/>
        </w:rPr>
        <w:t>i</w:t>
      </w:r>
      <w:r w:rsidRPr="00D12F13">
        <w:rPr>
          <w:rFonts w:ascii="Times New Roman" w:hAnsi="Times New Roman" w:cs="Times New Roman"/>
          <w:color w:val="000000"/>
          <w:sz w:val="24"/>
          <w:szCs w:val="24"/>
        </w:rPr>
        <w:t xml:space="preserve"> iznosi</w:t>
      </w:r>
      <w:r w:rsidR="004E1B45">
        <w:rPr>
          <w:rFonts w:ascii="Times New Roman" w:hAnsi="Times New Roman" w:cs="Times New Roman"/>
          <w:color w:val="000000"/>
          <w:sz w:val="24"/>
          <w:szCs w:val="24"/>
        </w:rPr>
        <w:t>li su</w:t>
      </w:r>
      <w:r w:rsidRPr="00D12F13">
        <w:rPr>
          <w:rFonts w:ascii="Times New Roman" w:hAnsi="Times New Roman" w:cs="Times New Roman"/>
          <w:color w:val="000000"/>
          <w:sz w:val="24"/>
          <w:szCs w:val="24"/>
        </w:rPr>
        <w:t xml:space="preserve"> </w:t>
      </w:r>
      <w:r w:rsidR="004E1B45">
        <w:rPr>
          <w:rFonts w:ascii="Times New Roman" w:hAnsi="Times New Roman" w:cs="Times New Roman"/>
          <w:color w:val="000000"/>
          <w:sz w:val="24"/>
          <w:szCs w:val="24"/>
        </w:rPr>
        <w:t>2.442.436</w:t>
      </w:r>
      <w:r w:rsidRPr="00D12F13">
        <w:rPr>
          <w:rFonts w:ascii="Times New Roman" w:hAnsi="Times New Roman" w:cs="Times New Roman"/>
          <w:color w:val="000000"/>
          <w:sz w:val="24"/>
          <w:szCs w:val="24"/>
        </w:rPr>
        <w:t xml:space="preserve"> EUR</w:t>
      </w:r>
      <w:r w:rsidR="004E1B45">
        <w:rPr>
          <w:rFonts w:ascii="Times New Roman" w:hAnsi="Times New Roman" w:cs="Times New Roman"/>
          <w:color w:val="000000"/>
          <w:sz w:val="24"/>
          <w:szCs w:val="24"/>
        </w:rPr>
        <w:t>, a</w:t>
      </w:r>
      <w:r w:rsidRPr="00D12F13">
        <w:rPr>
          <w:rFonts w:ascii="Times New Roman" w:hAnsi="Times New Roman" w:cs="Times New Roman"/>
          <w:color w:val="000000"/>
          <w:sz w:val="24"/>
          <w:szCs w:val="24"/>
        </w:rPr>
        <w:t xml:space="preserve"> izvršeno je </w:t>
      </w:r>
      <w:r w:rsidR="004E1B45">
        <w:rPr>
          <w:rFonts w:ascii="Times New Roman" w:hAnsi="Times New Roman" w:cs="Times New Roman"/>
          <w:color w:val="000000"/>
          <w:sz w:val="24"/>
          <w:szCs w:val="24"/>
        </w:rPr>
        <w:t>2.035.180,64</w:t>
      </w:r>
      <w:r w:rsidRPr="00D12F13">
        <w:rPr>
          <w:rFonts w:ascii="Times New Roman" w:hAnsi="Times New Roman" w:cs="Times New Roman"/>
          <w:color w:val="000000"/>
          <w:sz w:val="24"/>
          <w:szCs w:val="24"/>
        </w:rPr>
        <w:t xml:space="preserve"> EUR – </w:t>
      </w:r>
      <w:r w:rsidR="004E1B45">
        <w:rPr>
          <w:rFonts w:ascii="Times New Roman" w:hAnsi="Times New Roman" w:cs="Times New Roman"/>
          <w:color w:val="000000"/>
          <w:sz w:val="24"/>
          <w:szCs w:val="24"/>
        </w:rPr>
        <w:t>83,33</w:t>
      </w:r>
      <w:r w:rsidRPr="00D12F13">
        <w:rPr>
          <w:rFonts w:ascii="Times New Roman" w:hAnsi="Times New Roman" w:cs="Times New Roman"/>
          <w:color w:val="000000"/>
          <w:sz w:val="24"/>
          <w:szCs w:val="24"/>
        </w:rPr>
        <w:t>%. U 202</w:t>
      </w:r>
      <w:r w:rsidR="00420E2E">
        <w:rPr>
          <w:rFonts w:ascii="Times New Roman" w:hAnsi="Times New Roman" w:cs="Times New Roman"/>
          <w:color w:val="000000"/>
          <w:sz w:val="24"/>
          <w:szCs w:val="24"/>
        </w:rPr>
        <w:t>4</w:t>
      </w:r>
      <w:r w:rsidRPr="00D12F13">
        <w:rPr>
          <w:rFonts w:ascii="Times New Roman" w:hAnsi="Times New Roman" w:cs="Times New Roman"/>
          <w:color w:val="000000"/>
          <w:sz w:val="24"/>
          <w:szCs w:val="24"/>
        </w:rPr>
        <w:t>. godin</w:t>
      </w:r>
      <w:r w:rsidR="00420E2E">
        <w:rPr>
          <w:rFonts w:ascii="Times New Roman" w:hAnsi="Times New Roman" w:cs="Times New Roman"/>
          <w:color w:val="000000"/>
          <w:sz w:val="24"/>
          <w:szCs w:val="24"/>
        </w:rPr>
        <w:t>u</w:t>
      </w:r>
      <w:r w:rsidRPr="00D12F13">
        <w:rPr>
          <w:rFonts w:ascii="Times New Roman" w:hAnsi="Times New Roman" w:cs="Times New Roman"/>
          <w:color w:val="000000"/>
          <w:sz w:val="24"/>
          <w:szCs w:val="24"/>
        </w:rPr>
        <w:t xml:space="preserve"> preneseno je </w:t>
      </w:r>
      <w:r w:rsidR="00420E2E">
        <w:rPr>
          <w:rFonts w:ascii="Times New Roman" w:hAnsi="Times New Roman" w:cs="Times New Roman"/>
          <w:color w:val="000000"/>
          <w:sz w:val="24"/>
          <w:szCs w:val="24"/>
        </w:rPr>
        <w:t>286.113,05</w:t>
      </w:r>
      <w:r w:rsidRPr="00D12F13">
        <w:rPr>
          <w:rFonts w:ascii="Times New Roman" w:hAnsi="Times New Roman" w:cs="Times New Roman"/>
          <w:color w:val="000000"/>
          <w:sz w:val="24"/>
          <w:szCs w:val="24"/>
        </w:rPr>
        <w:t xml:space="preserve"> EUR neutrošenih prihoda</w:t>
      </w:r>
      <w:r w:rsidR="00420E2E">
        <w:rPr>
          <w:rFonts w:ascii="Times New Roman" w:hAnsi="Times New Roman" w:cs="Times New Roman"/>
          <w:color w:val="000000"/>
          <w:sz w:val="24"/>
          <w:szCs w:val="24"/>
        </w:rPr>
        <w:t xml:space="preserve">. </w:t>
      </w:r>
      <w:r w:rsidRPr="00D12F13">
        <w:rPr>
          <w:rFonts w:ascii="Times New Roman" w:hAnsi="Times New Roman" w:cs="Times New Roman"/>
          <w:color w:val="000000"/>
          <w:sz w:val="24"/>
          <w:szCs w:val="24"/>
        </w:rPr>
        <w:t xml:space="preserve">U izvoru 43 Ostali prihodi za posebne namjene Agencija naplaćuje prihode čije su korištenje i namjena utvrđeni posebnim zakonima i propisima koje donosi Vlada Republike. </w:t>
      </w:r>
    </w:p>
    <w:p w:rsidR="00B512E7" w:rsidRDefault="00B512E7" w:rsidP="00B512E7">
      <w:pP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prijenos u 2025. godinu ostaje 208.415,20 EUR.</w:t>
      </w:r>
    </w:p>
    <w:p w:rsidR="00420E2E" w:rsidRDefault="00420E2E" w:rsidP="00D12F13">
      <w:pPr>
        <w:spacing w:after="0" w:line="276" w:lineRule="auto"/>
        <w:jc w:val="both"/>
        <w:rPr>
          <w:rFonts w:ascii="Times New Roman" w:hAnsi="Times New Roman" w:cs="Times New Roman"/>
          <w:b/>
          <w:color w:val="000000"/>
          <w:sz w:val="24"/>
          <w:szCs w:val="24"/>
        </w:rPr>
      </w:pPr>
    </w:p>
    <w:p w:rsidR="00CB798F" w:rsidRDefault="00CB798F" w:rsidP="00D12F13">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t xml:space="preserve">Izvor 51  Pomoći EU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51 – Pomoći EU – prihod 6323 – plan </w:t>
      </w:r>
      <w:r w:rsidR="00420E2E">
        <w:rPr>
          <w:rFonts w:ascii="Times New Roman" w:hAnsi="Times New Roman" w:cs="Times New Roman"/>
          <w:color w:val="000000"/>
          <w:sz w:val="24"/>
          <w:szCs w:val="24"/>
        </w:rPr>
        <w:t xml:space="preserve">je </w:t>
      </w:r>
      <w:r w:rsidRPr="00D12F13">
        <w:rPr>
          <w:rFonts w:ascii="Times New Roman" w:hAnsi="Times New Roman" w:cs="Times New Roman"/>
          <w:color w:val="000000"/>
          <w:sz w:val="24"/>
          <w:szCs w:val="24"/>
        </w:rPr>
        <w:t>iznosi</w:t>
      </w:r>
      <w:r w:rsidR="00420E2E">
        <w:rPr>
          <w:rFonts w:ascii="Times New Roman" w:hAnsi="Times New Roman" w:cs="Times New Roman"/>
          <w:color w:val="000000"/>
          <w:sz w:val="24"/>
          <w:szCs w:val="24"/>
        </w:rPr>
        <w:t>o</w:t>
      </w:r>
      <w:r w:rsidRPr="00D12F13">
        <w:rPr>
          <w:rFonts w:ascii="Times New Roman" w:hAnsi="Times New Roman" w:cs="Times New Roman"/>
          <w:color w:val="000000"/>
          <w:sz w:val="24"/>
          <w:szCs w:val="24"/>
        </w:rPr>
        <w:t xml:space="preserve"> </w:t>
      </w:r>
      <w:r w:rsidR="00420E2E">
        <w:rPr>
          <w:rFonts w:ascii="Times New Roman" w:hAnsi="Times New Roman" w:cs="Times New Roman"/>
          <w:color w:val="000000"/>
          <w:sz w:val="24"/>
          <w:szCs w:val="24"/>
        </w:rPr>
        <w:t>254.703</w:t>
      </w:r>
      <w:r w:rsidRPr="00D12F13">
        <w:rPr>
          <w:rFonts w:ascii="Times New Roman" w:hAnsi="Times New Roman" w:cs="Times New Roman"/>
          <w:color w:val="000000"/>
          <w:sz w:val="24"/>
          <w:szCs w:val="24"/>
        </w:rPr>
        <w:t xml:space="preserve"> EUR</w:t>
      </w:r>
      <w:r w:rsidR="00420E2E">
        <w:rPr>
          <w:rFonts w:ascii="Times New Roman" w:hAnsi="Times New Roman" w:cs="Times New Roman"/>
          <w:color w:val="000000"/>
          <w:sz w:val="24"/>
          <w:szCs w:val="24"/>
        </w:rPr>
        <w:t>, a u 2024. godini ukupno je uplaćeno</w:t>
      </w:r>
      <w:r w:rsidRPr="00D12F13">
        <w:rPr>
          <w:rFonts w:ascii="Times New Roman" w:hAnsi="Times New Roman" w:cs="Times New Roman"/>
          <w:color w:val="000000"/>
          <w:sz w:val="24"/>
          <w:szCs w:val="24"/>
        </w:rPr>
        <w:t xml:space="preserve"> </w:t>
      </w:r>
      <w:r w:rsidR="00420E2E">
        <w:rPr>
          <w:rFonts w:ascii="Times New Roman" w:hAnsi="Times New Roman" w:cs="Times New Roman"/>
          <w:color w:val="000000"/>
          <w:sz w:val="24"/>
          <w:szCs w:val="24"/>
        </w:rPr>
        <w:t>296.167,49</w:t>
      </w:r>
      <w:r w:rsidRPr="00D12F13">
        <w:rPr>
          <w:rFonts w:ascii="Times New Roman" w:hAnsi="Times New Roman" w:cs="Times New Roman"/>
          <w:color w:val="000000"/>
          <w:sz w:val="24"/>
          <w:szCs w:val="24"/>
        </w:rPr>
        <w:t xml:space="preserve"> EUR – </w:t>
      </w:r>
      <w:r w:rsidR="00420E2E">
        <w:rPr>
          <w:rFonts w:ascii="Times New Roman" w:hAnsi="Times New Roman" w:cs="Times New Roman"/>
          <w:color w:val="000000"/>
          <w:sz w:val="24"/>
          <w:szCs w:val="24"/>
        </w:rPr>
        <w:t>116,28</w:t>
      </w:r>
      <w:r w:rsidRPr="00D12F13">
        <w:rPr>
          <w:rFonts w:ascii="Times New Roman" w:hAnsi="Times New Roman" w:cs="Times New Roman"/>
          <w:color w:val="000000"/>
          <w:sz w:val="24"/>
          <w:szCs w:val="24"/>
        </w:rPr>
        <w:t xml:space="preserve">% i to na kontu 632311700 </w:t>
      </w:r>
      <w:r w:rsidR="00420E2E">
        <w:rPr>
          <w:rFonts w:ascii="Times New Roman" w:hAnsi="Times New Roman" w:cs="Times New Roman"/>
          <w:color w:val="000000"/>
          <w:sz w:val="24"/>
          <w:szCs w:val="24"/>
        </w:rPr>
        <w:t>2</w:t>
      </w:r>
      <w:r w:rsidR="00B512E7">
        <w:rPr>
          <w:rFonts w:ascii="Times New Roman" w:hAnsi="Times New Roman" w:cs="Times New Roman"/>
          <w:color w:val="000000"/>
          <w:sz w:val="24"/>
          <w:szCs w:val="24"/>
        </w:rPr>
        <w:t>89.750,00</w:t>
      </w:r>
      <w:r w:rsidRPr="00D12F13">
        <w:rPr>
          <w:rFonts w:ascii="Times New Roman" w:hAnsi="Times New Roman" w:cs="Times New Roman"/>
          <w:color w:val="000000"/>
          <w:sz w:val="24"/>
          <w:szCs w:val="24"/>
        </w:rPr>
        <w:t xml:space="preserve"> EUR te na kontu 632311800 naplaćeno je </w:t>
      </w:r>
      <w:r w:rsidR="00B512E7">
        <w:rPr>
          <w:rFonts w:ascii="Times New Roman" w:hAnsi="Times New Roman" w:cs="Times New Roman"/>
          <w:color w:val="000000"/>
          <w:sz w:val="24"/>
          <w:szCs w:val="24"/>
        </w:rPr>
        <w:t>6.417,49</w:t>
      </w:r>
      <w:r w:rsidRPr="00D12F13">
        <w:rPr>
          <w:rFonts w:ascii="Times New Roman" w:hAnsi="Times New Roman" w:cs="Times New Roman"/>
          <w:color w:val="000000"/>
          <w:sz w:val="24"/>
          <w:szCs w:val="24"/>
        </w:rPr>
        <w:t xml:space="preserve"> EUR. U 202</w:t>
      </w:r>
      <w:r w:rsidR="00B512E7">
        <w:rPr>
          <w:rFonts w:ascii="Times New Roman" w:hAnsi="Times New Roman" w:cs="Times New Roman"/>
          <w:color w:val="000000"/>
          <w:sz w:val="24"/>
          <w:szCs w:val="24"/>
        </w:rPr>
        <w:t>4</w:t>
      </w:r>
      <w:r w:rsidRPr="00D12F13">
        <w:rPr>
          <w:rFonts w:ascii="Times New Roman" w:hAnsi="Times New Roman" w:cs="Times New Roman"/>
          <w:color w:val="000000"/>
          <w:sz w:val="24"/>
          <w:szCs w:val="24"/>
        </w:rPr>
        <w:t>. godin</w:t>
      </w:r>
      <w:r w:rsidR="00B512E7">
        <w:rPr>
          <w:rFonts w:ascii="Times New Roman" w:hAnsi="Times New Roman" w:cs="Times New Roman"/>
          <w:color w:val="000000"/>
          <w:sz w:val="24"/>
          <w:szCs w:val="24"/>
        </w:rPr>
        <w:t>u</w:t>
      </w:r>
      <w:r w:rsidRPr="00D12F13">
        <w:rPr>
          <w:rFonts w:ascii="Times New Roman" w:hAnsi="Times New Roman" w:cs="Times New Roman"/>
          <w:color w:val="000000"/>
          <w:sz w:val="24"/>
          <w:szCs w:val="24"/>
        </w:rPr>
        <w:t xml:space="preserve"> preneseno je </w:t>
      </w:r>
      <w:r w:rsidR="00B512E7">
        <w:rPr>
          <w:rFonts w:ascii="Times New Roman" w:hAnsi="Times New Roman" w:cs="Times New Roman"/>
          <w:color w:val="000000"/>
          <w:sz w:val="24"/>
          <w:szCs w:val="24"/>
        </w:rPr>
        <w:t>398.376,49</w:t>
      </w:r>
      <w:r w:rsidRPr="00D12F13">
        <w:rPr>
          <w:rFonts w:ascii="Times New Roman" w:hAnsi="Times New Roman" w:cs="Times New Roman"/>
          <w:color w:val="000000"/>
          <w:sz w:val="24"/>
          <w:szCs w:val="24"/>
        </w:rPr>
        <w:t xml:space="preserve"> EUR neutrošenih prihoda..</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se koristi za planiranje pomoći od institucija i tijela EU i prihodi su ostvareni uplatama po projektima u koja Agencija sudjeluje – uplate od EFSA-e, </w:t>
      </w:r>
      <w:r w:rsidR="00B512E7">
        <w:rPr>
          <w:rFonts w:ascii="Times New Roman" w:hAnsi="Times New Roman" w:cs="Times New Roman"/>
          <w:color w:val="000000"/>
          <w:sz w:val="24"/>
          <w:szCs w:val="24"/>
        </w:rPr>
        <w:t xml:space="preserve">za aktivnost </w:t>
      </w:r>
      <w:r w:rsidRPr="00D12F13">
        <w:rPr>
          <w:rFonts w:ascii="Times New Roman" w:hAnsi="Times New Roman" w:cs="Times New Roman"/>
          <w:color w:val="000000"/>
          <w:sz w:val="24"/>
          <w:szCs w:val="24"/>
        </w:rPr>
        <w:t>Kontaktna točka Europske agencije za sigurnost hrane te refundacija EU za službena putovanja.</w:t>
      </w:r>
    </w:p>
    <w:p w:rsidR="00B512E7" w:rsidRDefault="00B512E7" w:rsidP="00B512E7">
      <w:pP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prijenos u 2025. godinu ostaje 359.232,29 EUR.</w:t>
      </w:r>
    </w:p>
    <w:p w:rsidR="00B512E7" w:rsidRDefault="00B512E7" w:rsidP="00D12F13">
      <w:pPr>
        <w:spacing w:after="0" w:line="276" w:lineRule="auto"/>
        <w:jc w:val="both"/>
        <w:rPr>
          <w:rFonts w:ascii="Times New Roman" w:hAnsi="Times New Roman" w:cs="Times New Roman"/>
          <w:b/>
          <w:color w:val="000000"/>
          <w:sz w:val="24"/>
          <w:szCs w:val="24"/>
        </w:rPr>
      </w:pPr>
    </w:p>
    <w:p w:rsidR="00BB00CD" w:rsidRDefault="00BB00CD" w:rsidP="00D12F13">
      <w:pPr>
        <w:spacing w:after="0" w:line="276" w:lineRule="auto"/>
        <w:jc w:val="both"/>
        <w:rPr>
          <w:rFonts w:ascii="Times New Roman" w:hAnsi="Times New Roman" w:cs="Times New Roman"/>
          <w:b/>
          <w:color w:val="000000"/>
          <w:sz w:val="24"/>
          <w:szCs w:val="24"/>
        </w:rPr>
      </w:pPr>
    </w:p>
    <w:p w:rsidR="00BB00CD" w:rsidRDefault="00BB00CD" w:rsidP="00D12F13">
      <w:pPr>
        <w:spacing w:after="0" w:line="276" w:lineRule="auto"/>
        <w:jc w:val="both"/>
        <w:rPr>
          <w:rFonts w:ascii="Times New Roman" w:hAnsi="Times New Roman" w:cs="Times New Roman"/>
          <w:b/>
          <w:color w:val="000000"/>
          <w:sz w:val="24"/>
          <w:szCs w:val="24"/>
        </w:rPr>
      </w:pPr>
    </w:p>
    <w:p w:rsidR="00BB00CD" w:rsidRDefault="00BB00CD" w:rsidP="00D12F13">
      <w:pPr>
        <w:spacing w:after="0" w:line="276" w:lineRule="auto"/>
        <w:jc w:val="both"/>
        <w:rPr>
          <w:rFonts w:ascii="Times New Roman" w:hAnsi="Times New Roman" w:cs="Times New Roman"/>
          <w:b/>
          <w:color w:val="000000"/>
          <w:sz w:val="24"/>
          <w:szCs w:val="24"/>
        </w:rPr>
      </w:pPr>
    </w:p>
    <w:p w:rsidR="00CB798F" w:rsidRPr="0094280D" w:rsidRDefault="00CB798F" w:rsidP="00D12F13">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lastRenderedPageBreak/>
        <w:t xml:space="preserve">Izvor 52 –Ostale pomoći </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Izvor 52 – Ostale pomoći – prihodi 63</w:t>
      </w:r>
      <w:r w:rsidR="00B512E7">
        <w:rPr>
          <w:rFonts w:ascii="Times New Roman" w:hAnsi="Times New Roman" w:cs="Times New Roman"/>
          <w:color w:val="000000"/>
          <w:sz w:val="24"/>
          <w:szCs w:val="24"/>
        </w:rPr>
        <w:t>2</w:t>
      </w:r>
      <w:r w:rsidRPr="00D12F13">
        <w:rPr>
          <w:rFonts w:ascii="Times New Roman" w:hAnsi="Times New Roman" w:cs="Times New Roman"/>
          <w:color w:val="000000"/>
          <w:sz w:val="24"/>
          <w:szCs w:val="24"/>
        </w:rPr>
        <w:t>1</w:t>
      </w:r>
      <w:r w:rsidR="00B512E7">
        <w:rPr>
          <w:rFonts w:ascii="Times New Roman" w:hAnsi="Times New Roman" w:cs="Times New Roman"/>
          <w:color w:val="000000"/>
          <w:sz w:val="24"/>
          <w:szCs w:val="24"/>
        </w:rPr>
        <w:t>-</w:t>
      </w:r>
      <w:r w:rsidRPr="00D12F13">
        <w:rPr>
          <w:rFonts w:ascii="Times New Roman" w:hAnsi="Times New Roman" w:cs="Times New Roman"/>
          <w:color w:val="000000"/>
          <w:sz w:val="24"/>
          <w:szCs w:val="24"/>
        </w:rPr>
        <w:t>63</w:t>
      </w:r>
      <w:r w:rsidR="00B512E7">
        <w:rPr>
          <w:rFonts w:ascii="Times New Roman" w:hAnsi="Times New Roman" w:cs="Times New Roman"/>
          <w:color w:val="000000"/>
          <w:sz w:val="24"/>
          <w:szCs w:val="24"/>
        </w:rPr>
        <w:t>93</w:t>
      </w:r>
      <w:r w:rsidRPr="00D12F13">
        <w:rPr>
          <w:rFonts w:ascii="Times New Roman" w:hAnsi="Times New Roman" w:cs="Times New Roman"/>
          <w:color w:val="000000"/>
          <w:sz w:val="24"/>
          <w:szCs w:val="24"/>
        </w:rPr>
        <w:t xml:space="preserve"> – plan</w:t>
      </w:r>
      <w:r w:rsidR="00B512E7">
        <w:rPr>
          <w:rFonts w:ascii="Times New Roman" w:hAnsi="Times New Roman" w:cs="Times New Roman"/>
          <w:color w:val="000000"/>
          <w:sz w:val="24"/>
          <w:szCs w:val="24"/>
        </w:rPr>
        <w:t>irani</w:t>
      </w:r>
      <w:r w:rsidRPr="00D12F13">
        <w:rPr>
          <w:rFonts w:ascii="Times New Roman" w:hAnsi="Times New Roman" w:cs="Times New Roman"/>
          <w:color w:val="000000"/>
          <w:sz w:val="24"/>
          <w:szCs w:val="24"/>
        </w:rPr>
        <w:t xml:space="preserve"> prihod</w:t>
      </w:r>
      <w:r w:rsidR="00B512E7">
        <w:rPr>
          <w:rFonts w:ascii="Times New Roman" w:hAnsi="Times New Roman" w:cs="Times New Roman"/>
          <w:color w:val="000000"/>
          <w:sz w:val="24"/>
          <w:szCs w:val="24"/>
        </w:rPr>
        <w:t>i</w:t>
      </w:r>
      <w:r w:rsidRPr="00D12F13">
        <w:rPr>
          <w:rFonts w:ascii="Times New Roman" w:hAnsi="Times New Roman" w:cs="Times New Roman"/>
          <w:color w:val="000000"/>
          <w:sz w:val="24"/>
          <w:szCs w:val="24"/>
        </w:rPr>
        <w:t xml:space="preserve"> u </w:t>
      </w:r>
      <w:r w:rsidR="00B512E7">
        <w:rPr>
          <w:rFonts w:ascii="Times New Roman" w:hAnsi="Times New Roman" w:cs="Times New Roman"/>
          <w:color w:val="000000"/>
          <w:sz w:val="24"/>
          <w:szCs w:val="24"/>
        </w:rPr>
        <w:t>2024.</w:t>
      </w:r>
      <w:r w:rsidRPr="00D12F13">
        <w:rPr>
          <w:rFonts w:ascii="Times New Roman" w:hAnsi="Times New Roman" w:cs="Times New Roman"/>
          <w:color w:val="000000"/>
          <w:sz w:val="24"/>
          <w:szCs w:val="24"/>
        </w:rPr>
        <w:t xml:space="preserve"> godini iznosi</w:t>
      </w:r>
      <w:r w:rsidR="00B512E7">
        <w:rPr>
          <w:rFonts w:ascii="Times New Roman" w:hAnsi="Times New Roman" w:cs="Times New Roman"/>
          <w:color w:val="000000"/>
          <w:sz w:val="24"/>
          <w:szCs w:val="24"/>
        </w:rPr>
        <w:t>li su</w:t>
      </w:r>
      <w:r w:rsidRPr="00D12F13">
        <w:rPr>
          <w:rFonts w:ascii="Times New Roman" w:hAnsi="Times New Roman" w:cs="Times New Roman"/>
          <w:color w:val="000000"/>
          <w:sz w:val="24"/>
          <w:szCs w:val="24"/>
        </w:rPr>
        <w:t xml:space="preserve"> </w:t>
      </w:r>
      <w:r w:rsidR="00B512E7">
        <w:rPr>
          <w:rFonts w:ascii="Times New Roman" w:hAnsi="Times New Roman" w:cs="Times New Roman"/>
          <w:color w:val="000000"/>
          <w:sz w:val="24"/>
          <w:szCs w:val="24"/>
        </w:rPr>
        <w:t>741.810</w:t>
      </w:r>
      <w:r w:rsidRPr="00D12F13">
        <w:rPr>
          <w:rFonts w:ascii="Times New Roman" w:hAnsi="Times New Roman" w:cs="Times New Roman"/>
          <w:color w:val="000000"/>
          <w:sz w:val="24"/>
          <w:szCs w:val="24"/>
        </w:rPr>
        <w:t xml:space="preserve"> EUR, </w:t>
      </w:r>
      <w:r w:rsidR="00BB00CD">
        <w:rPr>
          <w:rFonts w:ascii="Times New Roman" w:hAnsi="Times New Roman" w:cs="Times New Roman"/>
          <w:color w:val="000000"/>
          <w:sz w:val="24"/>
          <w:szCs w:val="24"/>
        </w:rPr>
        <w:t xml:space="preserve">a </w:t>
      </w:r>
      <w:r w:rsidRPr="00D12F13">
        <w:rPr>
          <w:rFonts w:ascii="Times New Roman" w:hAnsi="Times New Roman" w:cs="Times New Roman"/>
          <w:color w:val="000000"/>
          <w:sz w:val="24"/>
          <w:szCs w:val="24"/>
        </w:rPr>
        <w:t xml:space="preserve">izvršeno je </w:t>
      </w:r>
      <w:r w:rsidR="00BB00CD">
        <w:rPr>
          <w:rFonts w:ascii="Times New Roman" w:hAnsi="Times New Roman" w:cs="Times New Roman"/>
          <w:color w:val="000000"/>
          <w:sz w:val="24"/>
          <w:szCs w:val="24"/>
        </w:rPr>
        <w:t>302.864,91</w:t>
      </w:r>
      <w:r w:rsidRPr="00D12F13">
        <w:rPr>
          <w:rFonts w:ascii="Times New Roman" w:hAnsi="Times New Roman" w:cs="Times New Roman"/>
          <w:color w:val="000000"/>
          <w:sz w:val="24"/>
          <w:szCs w:val="24"/>
        </w:rPr>
        <w:t xml:space="preserve"> EUR – </w:t>
      </w:r>
      <w:r w:rsidR="00BB00CD">
        <w:rPr>
          <w:rFonts w:ascii="Times New Roman" w:hAnsi="Times New Roman" w:cs="Times New Roman"/>
          <w:color w:val="000000"/>
          <w:sz w:val="24"/>
          <w:szCs w:val="24"/>
        </w:rPr>
        <w:t>40,83</w:t>
      </w:r>
      <w:r w:rsidRPr="00D12F13">
        <w:rPr>
          <w:rFonts w:ascii="Times New Roman" w:hAnsi="Times New Roman" w:cs="Times New Roman"/>
          <w:color w:val="000000"/>
          <w:sz w:val="24"/>
          <w:szCs w:val="24"/>
        </w:rPr>
        <w:t xml:space="preserve">%. U </w:t>
      </w:r>
      <w:r w:rsidR="00BB00CD">
        <w:rPr>
          <w:rFonts w:ascii="Times New Roman" w:hAnsi="Times New Roman" w:cs="Times New Roman"/>
          <w:color w:val="000000"/>
          <w:sz w:val="24"/>
          <w:szCs w:val="24"/>
        </w:rPr>
        <w:t>2024</w:t>
      </w:r>
      <w:r w:rsidRPr="00D12F13">
        <w:rPr>
          <w:rFonts w:ascii="Times New Roman" w:hAnsi="Times New Roman" w:cs="Times New Roman"/>
          <w:color w:val="000000"/>
          <w:sz w:val="24"/>
          <w:szCs w:val="24"/>
        </w:rPr>
        <w:t>. godin</w:t>
      </w:r>
      <w:r w:rsidR="00BB00CD">
        <w:rPr>
          <w:rFonts w:ascii="Times New Roman" w:hAnsi="Times New Roman" w:cs="Times New Roman"/>
          <w:color w:val="000000"/>
          <w:sz w:val="24"/>
          <w:szCs w:val="24"/>
        </w:rPr>
        <w:t>u</w:t>
      </w:r>
      <w:r w:rsidRPr="00D12F13">
        <w:rPr>
          <w:rFonts w:ascii="Times New Roman" w:hAnsi="Times New Roman" w:cs="Times New Roman"/>
          <w:color w:val="000000"/>
          <w:sz w:val="24"/>
          <w:szCs w:val="24"/>
        </w:rPr>
        <w:t xml:space="preserve"> preneseno je </w:t>
      </w:r>
      <w:r w:rsidR="00BB00CD">
        <w:rPr>
          <w:rFonts w:ascii="Times New Roman" w:hAnsi="Times New Roman" w:cs="Times New Roman"/>
          <w:color w:val="000000"/>
          <w:sz w:val="24"/>
          <w:szCs w:val="24"/>
        </w:rPr>
        <w:t>275.760,99</w:t>
      </w:r>
      <w:r w:rsidRPr="00D12F13">
        <w:rPr>
          <w:rFonts w:ascii="Times New Roman" w:hAnsi="Times New Roman" w:cs="Times New Roman"/>
          <w:color w:val="000000"/>
          <w:sz w:val="24"/>
          <w:szCs w:val="24"/>
        </w:rPr>
        <w:t xml:space="preserve"> EUR neutrošenih prihoda..</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Izvor se koristi za planiranje pomoći subjekata unutar opće države uključivo i prijenose između proračunskih korisnika istog proračuna – Agencija od Agencije za plaćanja u poljoprivredi nakon obavljenih administrativnih kontrola prihvatljivosti troškova prijenosima između proračunskih korisnika prima sredstava za provođenje aktivnosti za </w:t>
      </w:r>
      <w:r w:rsidR="00BB00CD">
        <w:rPr>
          <w:rFonts w:ascii="Times New Roman" w:hAnsi="Times New Roman" w:cs="Times New Roman"/>
          <w:color w:val="000000"/>
          <w:sz w:val="24"/>
          <w:szCs w:val="24"/>
        </w:rPr>
        <w:t>Otkrivanje i dijagnosticiranje štetnih organizama</w:t>
      </w:r>
      <w:r w:rsidRPr="00D12F13">
        <w:rPr>
          <w:rFonts w:ascii="Times New Roman" w:hAnsi="Times New Roman" w:cs="Times New Roman"/>
          <w:color w:val="000000"/>
          <w:sz w:val="24"/>
          <w:szCs w:val="24"/>
        </w:rPr>
        <w:t xml:space="preserve"> te Mjeru 16.1.2. Na kontima izvora 52 evidentiraju se i poticaji koje ostvaruju Centar za sjemenarstvo i rasadničarstvo na </w:t>
      </w:r>
      <w:proofErr w:type="spellStart"/>
      <w:r w:rsidRPr="00D12F13">
        <w:rPr>
          <w:rFonts w:ascii="Times New Roman" w:hAnsi="Times New Roman" w:cs="Times New Roman"/>
          <w:color w:val="000000"/>
          <w:sz w:val="24"/>
          <w:szCs w:val="24"/>
        </w:rPr>
        <w:t>Pokušalištu</w:t>
      </w:r>
      <w:proofErr w:type="spellEnd"/>
      <w:r w:rsidRPr="00D12F13">
        <w:rPr>
          <w:rFonts w:ascii="Times New Roman" w:hAnsi="Times New Roman" w:cs="Times New Roman"/>
          <w:color w:val="000000"/>
          <w:sz w:val="24"/>
          <w:szCs w:val="24"/>
        </w:rPr>
        <w:t xml:space="preserve"> Osijek i aktivnosti Centra za voćarstvo i povrćarstvo na aktivnosti </w:t>
      </w:r>
      <w:proofErr w:type="spellStart"/>
      <w:r w:rsidRPr="00D12F13">
        <w:rPr>
          <w:rFonts w:ascii="Times New Roman" w:hAnsi="Times New Roman" w:cs="Times New Roman"/>
          <w:color w:val="000000"/>
          <w:sz w:val="24"/>
          <w:szCs w:val="24"/>
        </w:rPr>
        <w:t>Pokušalište</w:t>
      </w:r>
      <w:proofErr w:type="spellEnd"/>
      <w:r w:rsidRPr="00D12F13">
        <w:rPr>
          <w:rFonts w:ascii="Times New Roman" w:hAnsi="Times New Roman" w:cs="Times New Roman"/>
          <w:color w:val="000000"/>
          <w:sz w:val="24"/>
          <w:szCs w:val="24"/>
        </w:rPr>
        <w:t xml:space="preserve"> zavoda za voćarstvo.</w:t>
      </w:r>
    </w:p>
    <w:p w:rsidR="00D12F13" w:rsidRP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6341 Tekuće pomoći od ostalih izvanproračunskih korisnika državnog proračuna – plan se odnosi na uplatu od strane Fonda za zaštitu okoliša, nacionalne komponente projekta koje provodi Agencija.</w:t>
      </w:r>
    </w:p>
    <w:p w:rsidR="00D12F13" w:rsidRDefault="00D12F13" w:rsidP="00D12F13">
      <w:pPr>
        <w:spacing w:after="0"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6391 Tekući prijenosi između proračunskih korisnika istog proračuna i 6393 Tekući prijenosi između proračunskih korisnika istog proračuna temeljem prijenosa EU sredstava – izvršene su uplate poticaja od strane APPRRR koje ostvaruju Centar za sjemenarstvo i rasadničarstvo za </w:t>
      </w:r>
      <w:proofErr w:type="spellStart"/>
      <w:r w:rsidRPr="00D12F13">
        <w:rPr>
          <w:rFonts w:ascii="Times New Roman" w:hAnsi="Times New Roman" w:cs="Times New Roman"/>
          <w:color w:val="000000"/>
          <w:sz w:val="24"/>
          <w:szCs w:val="24"/>
        </w:rPr>
        <w:t>Pokušalište</w:t>
      </w:r>
      <w:proofErr w:type="spellEnd"/>
      <w:r w:rsidRPr="00D12F13">
        <w:rPr>
          <w:rFonts w:ascii="Times New Roman" w:hAnsi="Times New Roman" w:cs="Times New Roman"/>
          <w:color w:val="000000"/>
          <w:sz w:val="24"/>
          <w:szCs w:val="24"/>
        </w:rPr>
        <w:t xml:space="preserve"> Osijek i Centar za voćarstvo i povrćarstvo za aktivnosti na </w:t>
      </w:r>
      <w:proofErr w:type="spellStart"/>
      <w:r w:rsidRPr="00D12F13">
        <w:rPr>
          <w:rFonts w:ascii="Times New Roman" w:hAnsi="Times New Roman" w:cs="Times New Roman"/>
          <w:color w:val="000000"/>
          <w:sz w:val="24"/>
          <w:szCs w:val="24"/>
        </w:rPr>
        <w:t>Pokušalištu</w:t>
      </w:r>
      <w:proofErr w:type="spellEnd"/>
      <w:r w:rsidRPr="00D12F13">
        <w:rPr>
          <w:rFonts w:ascii="Times New Roman" w:hAnsi="Times New Roman" w:cs="Times New Roman"/>
          <w:color w:val="000000"/>
          <w:sz w:val="24"/>
          <w:szCs w:val="24"/>
        </w:rPr>
        <w:t xml:space="preserve"> Zavoda za voćarstvo i uplata za Mjeru 16.1.2. </w:t>
      </w:r>
    </w:p>
    <w:p w:rsidR="00BB00CD" w:rsidRDefault="00BB00CD" w:rsidP="00D12F13">
      <w:pPr>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prijenos u 2025. godinu ostaje 495.210,07 EUR</w:t>
      </w:r>
    </w:p>
    <w:p w:rsidR="00BB00CD" w:rsidRDefault="00BB00CD" w:rsidP="00D12F13">
      <w:pPr>
        <w:spacing w:after="0" w:line="276" w:lineRule="auto"/>
        <w:jc w:val="both"/>
        <w:rPr>
          <w:rFonts w:ascii="Times New Roman" w:hAnsi="Times New Roman" w:cs="Times New Roman"/>
          <w:color w:val="000000"/>
          <w:sz w:val="24"/>
          <w:szCs w:val="24"/>
        </w:rPr>
      </w:pPr>
    </w:p>
    <w:p w:rsidR="00CB798F" w:rsidRPr="0094280D" w:rsidRDefault="00CB798F" w:rsidP="00D12F13">
      <w:pPr>
        <w:spacing w:after="0" w:line="276" w:lineRule="auto"/>
        <w:jc w:val="both"/>
        <w:rPr>
          <w:rFonts w:ascii="Times New Roman" w:hAnsi="Times New Roman" w:cs="Times New Roman"/>
          <w:b/>
          <w:color w:val="000000"/>
          <w:sz w:val="24"/>
          <w:szCs w:val="24"/>
        </w:rPr>
      </w:pPr>
      <w:r w:rsidRPr="00CB798F">
        <w:rPr>
          <w:rFonts w:ascii="Times New Roman" w:hAnsi="Times New Roman" w:cs="Times New Roman"/>
          <w:b/>
          <w:color w:val="000000"/>
          <w:sz w:val="24"/>
          <w:szCs w:val="24"/>
        </w:rPr>
        <w:t xml:space="preserve">Izvor 581 Mehanizam za oporavak i otpornost </w:t>
      </w:r>
    </w:p>
    <w:p w:rsidR="00D12F13" w:rsidRPr="00D12F13" w:rsidRDefault="00D12F13" w:rsidP="00D12F13">
      <w:pPr>
        <w:pStyle w:val="T-98-2"/>
        <w:spacing w:after="0" w:line="276" w:lineRule="auto"/>
        <w:ind w:firstLine="0"/>
        <w:rPr>
          <w:rFonts w:ascii="Times New Roman" w:eastAsiaTheme="minorHAnsi" w:hAnsi="Times New Roman"/>
          <w:color w:val="000000"/>
          <w:sz w:val="24"/>
          <w:szCs w:val="24"/>
          <w:lang w:eastAsia="en-US"/>
        </w:rPr>
      </w:pPr>
      <w:r w:rsidRPr="00D12F13">
        <w:rPr>
          <w:rFonts w:ascii="Times New Roman" w:eastAsiaTheme="minorHAnsi" w:hAnsi="Times New Roman"/>
          <w:color w:val="000000"/>
          <w:sz w:val="24"/>
          <w:szCs w:val="24"/>
          <w:lang w:eastAsia="en-US"/>
        </w:rPr>
        <w:t>Izvor 581 – Mehanizam za oporavak i otpornost –plan prihoda iznosi</w:t>
      </w:r>
      <w:r w:rsidR="00BB00CD">
        <w:rPr>
          <w:rFonts w:ascii="Times New Roman" w:eastAsiaTheme="minorHAnsi" w:hAnsi="Times New Roman"/>
          <w:color w:val="000000"/>
          <w:sz w:val="24"/>
          <w:szCs w:val="24"/>
          <w:lang w:eastAsia="en-US"/>
        </w:rPr>
        <w:t>o je</w:t>
      </w:r>
      <w:r w:rsidRPr="00D12F13">
        <w:rPr>
          <w:rFonts w:ascii="Times New Roman" w:eastAsiaTheme="minorHAnsi" w:hAnsi="Times New Roman"/>
          <w:color w:val="000000"/>
          <w:sz w:val="24"/>
          <w:szCs w:val="24"/>
          <w:lang w:eastAsia="en-US"/>
        </w:rPr>
        <w:t xml:space="preserve"> </w:t>
      </w:r>
      <w:r w:rsidR="00BB00CD">
        <w:rPr>
          <w:rFonts w:ascii="Times New Roman" w:eastAsiaTheme="minorHAnsi" w:hAnsi="Times New Roman"/>
          <w:color w:val="000000"/>
          <w:sz w:val="24"/>
          <w:szCs w:val="24"/>
          <w:lang w:eastAsia="en-US"/>
        </w:rPr>
        <w:t>427.746</w:t>
      </w:r>
      <w:r w:rsidRPr="00D12F13">
        <w:rPr>
          <w:rFonts w:ascii="Times New Roman" w:eastAsiaTheme="minorHAnsi" w:hAnsi="Times New Roman"/>
          <w:color w:val="000000"/>
          <w:sz w:val="24"/>
          <w:szCs w:val="24"/>
          <w:lang w:eastAsia="en-US"/>
        </w:rPr>
        <w:t xml:space="preserve"> EUR</w:t>
      </w:r>
      <w:r w:rsidR="00BB00CD">
        <w:rPr>
          <w:rFonts w:ascii="Times New Roman" w:eastAsiaTheme="minorHAnsi" w:hAnsi="Times New Roman"/>
          <w:color w:val="000000"/>
          <w:sz w:val="24"/>
          <w:szCs w:val="24"/>
          <w:lang w:eastAsia="en-US"/>
        </w:rPr>
        <w:t>, a</w:t>
      </w:r>
      <w:r w:rsidRPr="00D12F13">
        <w:rPr>
          <w:rFonts w:ascii="Times New Roman" w:eastAsiaTheme="minorHAnsi" w:hAnsi="Times New Roman"/>
          <w:color w:val="000000"/>
          <w:sz w:val="24"/>
          <w:szCs w:val="24"/>
          <w:lang w:eastAsia="en-US"/>
        </w:rPr>
        <w:t xml:space="preserve"> izvršeno je </w:t>
      </w:r>
      <w:r w:rsidR="00BB00CD">
        <w:rPr>
          <w:rFonts w:ascii="Times New Roman" w:eastAsiaTheme="minorHAnsi" w:hAnsi="Times New Roman"/>
          <w:color w:val="000000"/>
          <w:sz w:val="24"/>
          <w:szCs w:val="24"/>
          <w:lang w:eastAsia="en-US"/>
        </w:rPr>
        <w:t>301.825,19</w:t>
      </w:r>
      <w:r w:rsidRPr="00D12F13">
        <w:rPr>
          <w:rFonts w:ascii="Times New Roman" w:eastAsiaTheme="minorHAnsi" w:hAnsi="Times New Roman"/>
          <w:color w:val="000000"/>
          <w:sz w:val="24"/>
          <w:szCs w:val="24"/>
          <w:lang w:eastAsia="en-US"/>
        </w:rPr>
        <w:t xml:space="preserve"> EUR – </w:t>
      </w:r>
      <w:r w:rsidR="00BB00CD">
        <w:rPr>
          <w:rFonts w:ascii="Times New Roman" w:eastAsiaTheme="minorHAnsi" w:hAnsi="Times New Roman"/>
          <w:color w:val="000000"/>
          <w:sz w:val="24"/>
          <w:szCs w:val="24"/>
          <w:lang w:eastAsia="en-US"/>
        </w:rPr>
        <w:t>70,56</w:t>
      </w:r>
      <w:r w:rsidRPr="00D12F13">
        <w:rPr>
          <w:rFonts w:ascii="Times New Roman" w:eastAsiaTheme="minorHAnsi" w:hAnsi="Times New Roman"/>
          <w:color w:val="000000"/>
          <w:sz w:val="24"/>
          <w:szCs w:val="24"/>
          <w:lang w:eastAsia="en-US"/>
        </w:rPr>
        <w:t>%.</w:t>
      </w:r>
    </w:p>
    <w:p w:rsidR="00D12F13" w:rsidRDefault="00D12F13" w:rsidP="00D12F13">
      <w:pPr>
        <w:pStyle w:val="T-98-2"/>
        <w:spacing w:after="0" w:line="276" w:lineRule="auto"/>
        <w:ind w:firstLine="0"/>
        <w:rPr>
          <w:rFonts w:ascii="Times New Roman" w:eastAsiaTheme="minorHAnsi" w:hAnsi="Times New Roman"/>
          <w:color w:val="000000"/>
          <w:sz w:val="24"/>
          <w:szCs w:val="24"/>
          <w:lang w:eastAsia="en-US"/>
        </w:rPr>
      </w:pPr>
      <w:r w:rsidRPr="00D12F13">
        <w:rPr>
          <w:rFonts w:ascii="Times New Roman" w:eastAsiaTheme="minorHAnsi" w:hAnsi="Times New Roman"/>
          <w:color w:val="000000"/>
          <w:sz w:val="24"/>
          <w:szCs w:val="24"/>
          <w:lang w:eastAsia="en-US"/>
        </w:rPr>
        <w:t xml:space="preserve">Izvor se odnosi na Mehanizam za oporavak i otpornost koji omogućuje državama članicama korištenje bespovratnih sredstava i zajmova za financiranje ulaganja i reformi kojima se ubrzava oporavak te povećava otpornost gospodarstava. Agencija provodi investiciju C1.5. R2-I2 Programa trajnog praćenja stanja (monitoring) poljoprivrednog zemljišta unutar reforme C1.5. R2 Unaprjeđenje sustava za restrukturiranje poljoprivrednog zemljišta i komasaciju, </w:t>
      </w:r>
      <w:proofErr w:type="spellStart"/>
      <w:r w:rsidRPr="00D12F13">
        <w:rPr>
          <w:rFonts w:ascii="Times New Roman" w:eastAsiaTheme="minorHAnsi" w:hAnsi="Times New Roman"/>
          <w:color w:val="000000"/>
          <w:sz w:val="24"/>
          <w:szCs w:val="24"/>
          <w:lang w:eastAsia="en-US"/>
        </w:rPr>
        <w:t>podkomponente</w:t>
      </w:r>
      <w:proofErr w:type="spellEnd"/>
      <w:r w:rsidRPr="00D12F13">
        <w:rPr>
          <w:rFonts w:ascii="Times New Roman" w:eastAsiaTheme="minorHAnsi" w:hAnsi="Times New Roman"/>
          <w:color w:val="000000"/>
          <w:sz w:val="24"/>
          <w:szCs w:val="24"/>
          <w:lang w:eastAsia="en-US"/>
        </w:rPr>
        <w:t xml:space="preserve"> C1.5. Nacionalnog plana oporavka i otpornosti 2021. – 2026., na način da je nositelj investicije Ministarstvo, a za provedbu navedene investicije nadležan je HAPIH. Sukladno potpisanom Sporazumu s Ministarstvom poljoprivrede KLASA:320-02/21-08/00001; URBROJ: 350-9869-22-8 od 25.1.2022. godine uređeno je zajedničko upravljanje, koordinacija i provedba aktivnosti investicije C1.5. R2-I2.</w:t>
      </w:r>
    </w:p>
    <w:p w:rsidR="00BB00CD" w:rsidRDefault="00BB00CD" w:rsidP="00D12F13">
      <w:pPr>
        <w:pStyle w:val="T-98-2"/>
        <w:spacing w:after="0" w:line="276" w:lineRule="auto"/>
        <w:ind w:firstLine="0"/>
        <w:rPr>
          <w:rFonts w:ascii="Times New Roman" w:eastAsiaTheme="minorHAnsi" w:hAnsi="Times New Roman"/>
          <w:color w:val="000000"/>
          <w:sz w:val="24"/>
          <w:szCs w:val="24"/>
          <w:lang w:eastAsia="en-US"/>
        </w:rPr>
      </w:pPr>
    </w:p>
    <w:p w:rsidR="00CB798F" w:rsidRPr="00CB798F" w:rsidRDefault="00CB798F" w:rsidP="00D12F13">
      <w:pPr>
        <w:pStyle w:val="T-98-2"/>
        <w:spacing w:after="0" w:line="276" w:lineRule="auto"/>
        <w:ind w:firstLine="0"/>
        <w:rPr>
          <w:rFonts w:ascii="Times New Roman" w:hAnsi="Times New Roman"/>
          <w:b/>
          <w:color w:val="000000"/>
          <w:sz w:val="24"/>
          <w:szCs w:val="24"/>
          <w:lang w:eastAsia="ar-SA"/>
        </w:rPr>
      </w:pPr>
      <w:r w:rsidRPr="00CB798F">
        <w:rPr>
          <w:rFonts w:ascii="Times New Roman" w:hAnsi="Times New Roman"/>
          <w:b/>
          <w:color w:val="000000"/>
          <w:sz w:val="24"/>
          <w:szCs w:val="24"/>
          <w:lang w:eastAsia="ar-SA"/>
        </w:rPr>
        <w:t>Izvor 71 – Prihodi od nefinancijske imovine i nadoknade štete</w:t>
      </w:r>
    </w:p>
    <w:p w:rsidR="009B4994" w:rsidRPr="00D12F13" w:rsidRDefault="00D12F13" w:rsidP="00D12F13">
      <w:pPr>
        <w:spacing w:line="276" w:lineRule="auto"/>
        <w:jc w:val="both"/>
        <w:rPr>
          <w:rFonts w:ascii="Times New Roman" w:hAnsi="Times New Roman" w:cs="Times New Roman"/>
          <w:color w:val="000000"/>
          <w:sz w:val="24"/>
          <w:szCs w:val="24"/>
        </w:rPr>
      </w:pPr>
      <w:r w:rsidRPr="00D12F13">
        <w:rPr>
          <w:rFonts w:ascii="Times New Roman" w:hAnsi="Times New Roman" w:cs="Times New Roman"/>
          <w:color w:val="000000"/>
          <w:sz w:val="24"/>
          <w:szCs w:val="24"/>
        </w:rPr>
        <w:t xml:space="preserve">Agencija </w:t>
      </w:r>
      <w:r w:rsidR="00BB00CD">
        <w:rPr>
          <w:rFonts w:ascii="Times New Roman" w:hAnsi="Times New Roman" w:cs="Times New Roman"/>
          <w:color w:val="000000"/>
          <w:sz w:val="24"/>
          <w:szCs w:val="24"/>
        </w:rPr>
        <w:t xml:space="preserve">je </w:t>
      </w:r>
      <w:r w:rsidRPr="00D12F13">
        <w:rPr>
          <w:rFonts w:ascii="Times New Roman" w:hAnsi="Times New Roman" w:cs="Times New Roman"/>
          <w:color w:val="000000"/>
          <w:sz w:val="24"/>
          <w:szCs w:val="24"/>
        </w:rPr>
        <w:t>ima</w:t>
      </w:r>
      <w:r w:rsidR="00BB00CD">
        <w:rPr>
          <w:rFonts w:ascii="Times New Roman" w:hAnsi="Times New Roman" w:cs="Times New Roman"/>
          <w:color w:val="000000"/>
          <w:sz w:val="24"/>
          <w:szCs w:val="24"/>
        </w:rPr>
        <w:t>la</w:t>
      </w:r>
      <w:r w:rsidRPr="00D12F13">
        <w:rPr>
          <w:rFonts w:ascii="Times New Roman" w:hAnsi="Times New Roman" w:cs="Times New Roman"/>
          <w:color w:val="000000"/>
          <w:sz w:val="24"/>
          <w:szCs w:val="24"/>
        </w:rPr>
        <w:t xml:space="preserve"> prijenos prihoda od prodaje dugotrajne imovine iz prethodnih razdoblja u iznosu od </w:t>
      </w:r>
      <w:r w:rsidR="00BB00CD">
        <w:rPr>
          <w:rFonts w:ascii="Times New Roman" w:hAnsi="Times New Roman" w:cs="Times New Roman"/>
          <w:color w:val="000000"/>
          <w:sz w:val="24"/>
          <w:szCs w:val="24"/>
        </w:rPr>
        <w:t>66.733,40</w:t>
      </w:r>
      <w:r w:rsidRPr="00D12F13">
        <w:rPr>
          <w:rFonts w:ascii="Times New Roman" w:hAnsi="Times New Roman" w:cs="Times New Roman"/>
          <w:color w:val="000000"/>
          <w:sz w:val="24"/>
          <w:szCs w:val="24"/>
        </w:rPr>
        <w:t xml:space="preserve"> EUR. </w:t>
      </w:r>
      <w:r w:rsidR="00BB00CD">
        <w:rPr>
          <w:rFonts w:ascii="Times New Roman" w:hAnsi="Times New Roman" w:cs="Times New Roman"/>
          <w:color w:val="000000"/>
          <w:sz w:val="24"/>
          <w:szCs w:val="24"/>
        </w:rPr>
        <w:t xml:space="preserve">Sredstva su utrošena u 2024. godini </w:t>
      </w:r>
    </w:p>
    <w:p w:rsidR="00F471E7" w:rsidRPr="00CB798F" w:rsidRDefault="00F471E7" w:rsidP="00624C16">
      <w:pPr>
        <w:spacing w:line="240" w:lineRule="auto"/>
        <w:jc w:val="both"/>
        <w:rPr>
          <w:rFonts w:ascii="Times New Roman" w:hAnsi="Times New Roman" w:cs="Times New Roman"/>
          <w:b/>
          <w:sz w:val="24"/>
          <w:szCs w:val="24"/>
        </w:rPr>
      </w:pPr>
      <w:r w:rsidRPr="00CB798F">
        <w:rPr>
          <w:rFonts w:ascii="Times New Roman" w:hAnsi="Times New Roman" w:cs="Times New Roman"/>
          <w:b/>
          <w:sz w:val="24"/>
          <w:szCs w:val="24"/>
        </w:rPr>
        <w:t>RASHODI I IZDACI</w:t>
      </w:r>
    </w:p>
    <w:p w:rsidR="00DF7F0A" w:rsidRDefault="00122F34"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Ukupno planirani rashodi u 202</w:t>
      </w:r>
      <w:r w:rsidR="00BB00CD">
        <w:rPr>
          <w:rFonts w:ascii="Times New Roman" w:hAnsi="Times New Roman" w:cs="Times New Roman"/>
          <w:sz w:val="24"/>
          <w:szCs w:val="24"/>
        </w:rPr>
        <w:t>4</w:t>
      </w:r>
      <w:r w:rsidRPr="00CB798F">
        <w:rPr>
          <w:rFonts w:ascii="Times New Roman" w:hAnsi="Times New Roman" w:cs="Times New Roman"/>
          <w:sz w:val="24"/>
          <w:szCs w:val="24"/>
        </w:rPr>
        <w:t xml:space="preserve">. godini </w:t>
      </w:r>
      <w:r w:rsidR="00DF7F0A">
        <w:rPr>
          <w:rFonts w:ascii="Times New Roman" w:hAnsi="Times New Roman" w:cs="Times New Roman"/>
          <w:sz w:val="24"/>
          <w:szCs w:val="24"/>
        </w:rPr>
        <w:t>iznosili su 22.053.364</w:t>
      </w:r>
      <w:r w:rsidR="0016270C">
        <w:rPr>
          <w:rFonts w:ascii="Times New Roman" w:hAnsi="Times New Roman" w:cs="Times New Roman"/>
          <w:sz w:val="24"/>
          <w:szCs w:val="24"/>
        </w:rPr>
        <w:t xml:space="preserve"> EUR. Izvršenje na dan </w:t>
      </w:r>
      <w:r w:rsidR="00D12F13">
        <w:rPr>
          <w:rFonts w:ascii="Times New Roman" w:hAnsi="Times New Roman" w:cs="Times New Roman"/>
          <w:sz w:val="24"/>
          <w:szCs w:val="24"/>
        </w:rPr>
        <w:t>31.12.202</w:t>
      </w:r>
      <w:r w:rsidR="00DF7F0A">
        <w:rPr>
          <w:rFonts w:ascii="Times New Roman" w:hAnsi="Times New Roman" w:cs="Times New Roman"/>
          <w:sz w:val="24"/>
          <w:szCs w:val="24"/>
        </w:rPr>
        <w:t>4</w:t>
      </w:r>
      <w:r w:rsidR="0016270C">
        <w:rPr>
          <w:rFonts w:ascii="Times New Roman" w:hAnsi="Times New Roman" w:cs="Times New Roman"/>
          <w:sz w:val="24"/>
          <w:szCs w:val="24"/>
        </w:rPr>
        <w:t>. iznosi</w:t>
      </w:r>
      <w:r w:rsidR="00DF7F0A">
        <w:rPr>
          <w:rFonts w:ascii="Times New Roman" w:hAnsi="Times New Roman" w:cs="Times New Roman"/>
          <w:sz w:val="24"/>
          <w:szCs w:val="24"/>
        </w:rPr>
        <w:t>lo je</w:t>
      </w:r>
      <w:r w:rsidR="0016270C">
        <w:rPr>
          <w:rFonts w:ascii="Times New Roman" w:hAnsi="Times New Roman" w:cs="Times New Roman"/>
          <w:sz w:val="24"/>
          <w:szCs w:val="24"/>
        </w:rPr>
        <w:t xml:space="preserve"> </w:t>
      </w:r>
      <w:r w:rsidR="00DF7F0A">
        <w:rPr>
          <w:rFonts w:ascii="Times New Roman" w:hAnsi="Times New Roman" w:cs="Times New Roman"/>
          <w:sz w:val="24"/>
          <w:szCs w:val="24"/>
        </w:rPr>
        <w:t>20.728.955,63</w:t>
      </w:r>
      <w:r w:rsidR="00D12F13">
        <w:rPr>
          <w:rFonts w:ascii="Times New Roman" w:hAnsi="Times New Roman" w:cs="Times New Roman"/>
          <w:sz w:val="24"/>
          <w:szCs w:val="24"/>
        </w:rPr>
        <w:t xml:space="preserve"> </w:t>
      </w:r>
      <w:r w:rsidR="0016270C">
        <w:rPr>
          <w:rFonts w:ascii="Times New Roman" w:hAnsi="Times New Roman" w:cs="Times New Roman"/>
          <w:sz w:val="24"/>
          <w:szCs w:val="24"/>
        </w:rPr>
        <w:t xml:space="preserve">EUR – </w:t>
      </w:r>
      <w:r w:rsidR="00DF7F0A">
        <w:rPr>
          <w:rFonts w:ascii="Times New Roman" w:hAnsi="Times New Roman" w:cs="Times New Roman"/>
          <w:sz w:val="24"/>
          <w:szCs w:val="24"/>
        </w:rPr>
        <w:t xml:space="preserve">93,99%. Rashodi poslovanja planirani su u iznosu od 20.849.861 EUR, a izvršeni su u iznosu od 19.788.477,76 EUR – 94,91%, dok su </w:t>
      </w:r>
      <w:r w:rsidRPr="00CB798F">
        <w:rPr>
          <w:rFonts w:ascii="Times New Roman" w:hAnsi="Times New Roman" w:cs="Times New Roman"/>
          <w:sz w:val="24"/>
          <w:szCs w:val="24"/>
        </w:rPr>
        <w:t>rashod</w:t>
      </w:r>
      <w:r w:rsidR="00DF7F0A">
        <w:rPr>
          <w:rFonts w:ascii="Times New Roman" w:hAnsi="Times New Roman" w:cs="Times New Roman"/>
          <w:sz w:val="24"/>
          <w:szCs w:val="24"/>
        </w:rPr>
        <w:t>i</w:t>
      </w:r>
      <w:r w:rsidRPr="00CB798F">
        <w:rPr>
          <w:rFonts w:ascii="Times New Roman" w:hAnsi="Times New Roman" w:cs="Times New Roman"/>
          <w:sz w:val="24"/>
          <w:szCs w:val="24"/>
        </w:rPr>
        <w:t xml:space="preserve"> za </w:t>
      </w:r>
      <w:r w:rsidRPr="00CB798F">
        <w:rPr>
          <w:rFonts w:ascii="Times New Roman" w:hAnsi="Times New Roman" w:cs="Times New Roman"/>
          <w:sz w:val="24"/>
          <w:szCs w:val="24"/>
        </w:rPr>
        <w:lastRenderedPageBreak/>
        <w:t>nabavu nefinancijske imovine</w:t>
      </w:r>
      <w:r w:rsidR="0016270C">
        <w:rPr>
          <w:rFonts w:ascii="Times New Roman" w:hAnsi="Times New Roman" w:cs="Times New Roman"/>
          <w:sz w:val="24"/>
          <w:szCs w:val="24"/>
        </w:rPr>
        <w:t xml:space="preserve"> planirani</w:t>
      </w:r>
      <w:r w:rsidR="00DF7F0A">
        <w:rPr>
          <w:rFonts w:ascii="Times New Roman" w:hAnsi="Times New Roman" w:cs="Times New Roman"/>
          <w:sz w:val="24"/>
          <w:szCs w:val="24"/>
        </w:rPr>
        <w:t xml:space="preserve"> </w:t>
      </w:r>
      <w:r w:rsidRPr="00CB798F">
        <w:rPr>
          <w:rFonts w:ascii="Times New Roman" w:hAnsi="Times New Roman" w:cs="Times New Roman"/>
          <w:sz w:val="24"/>
          <w:szCs w:val="24"/>
        </w:rPr>
        <w:t xml:space="preserve">u iznosu od </w:t>
      </w:r>
      <w:r w:rsidR="00DF7F0A">
        <w:rPr>
          <w:rFonts w:ascii="Times New Roman" w:hAnsi="Times New Roman" w:cs="Times New Roman"/>
          <w:sz w:val="24"/>
          <w:szCs w:val="24"/>
        </w:rPr>
        <w:t>1.203.503</w:t>
      </w:r>
      <w:r w:rsidR="0016270C">
        <w:rPr>
          <w:rFonts w:ascii="Times New Roman" w:hAnsi="Times New Roman" w:cs="Times New Roman"/>
          <w:sz w:val="24"/>
          <w:szCs w:val="24"/>
        </w:rPr>
        <w:t xml:space="preserve"> EUR</w:t>
      </w:r>
      <w:r w:rsidR="00DF7F0A">
        <w:rPr>
          <w:rFonts w:ascii="Times New Roman" w:hAnsi="Times New Roman" w:cs="Times New Roman"/>
          <w:sz w:val="24"/>
          <w:szCs w:val="24"/>
        </w:rPr>
        <w:t>, a izvršeni u iznosu od 940.477,87 EUR – 78,15%</w:t>
      </w:r>
    </w:p>
    <w:p w:rsidR="00122F34" w:rsidRDefault="00B825B3" w:rsidP="00624C16">
      <w:pPr>
        <w:spacing w:line="240" w:lineRule="auto"/>
        <w:jc w:val="both"/>
        <w:rPr>
          <w:rFonts w:ascii="Times New Roman" w:hAnsi="Times New Roman" w:cs="Times New Roman"/>
          <w:sz w:val="24"/>
          <w:szCs w:val="24"/>
        </w:rPr>
      </w:pPr>
      <w:r w:rsidRPr="00CB798F">
        <w:rPr>
          <w:rFonts w:ascii="Times New Roman" w:hAnsi="Times New Roman" w:cs="Times New Roman"/>
          <w:sz w:val="24"/>
          <w:szCs w:val="24"/>
        </w:rPr>
        <w:t>Vrijednosno najznačajniji rashodi odnose se na aktivnost Administracija i upravljanje unutar koje se financiraju plaće svih djelatnika Agencije te rashodi Centra za vinarstvo, vinograda</w:t>
      </w:r>
      <w:r w:rsidR="00DF1FD7" w:rsidRPr="00CB798F">
        <w:rPr>
          <w:rFonts w:ascii="Times New Roman" w:hAnsi="Times New Roman" w:cs="Times New Roman"/>
          <w:sz w:val="24"/>
          <w:szCs w:val="24"/>
        </w:rPr>
        <w:t>r</w:t>
      </w:r>
      <w:r w:rsidRPr="00CB798F">
        <w:rPr>
          <w:rFonts w:ascii="Times New Roman" w:hAnsi="Times New Roman" w:cs="Times New Roman"/>
          <w:sz w:val="24"/>
          <w:szCs w:val="24"/>
        </w:rPr>
        <w:t xml:space="preserve">stvo i </w:t>
      </w:r>
      <w:proofErr w:type="spellStart"/>
      <w:r w:rsidRPr="00CB798F">
        <w:rPr>
          <w:rFonts w:ascii="Times New Roman" w:hAnsi="Times New Roman" w:cs="Times New Roman"/>
          <w:sz w:val="24"/>
          <w:szCs w:val="24"/>
        </w:rPr>
        <w:t>uljarstvo</w:t>
      </w:r>
      <w:proofErr w:type="spellEnd"/>
      <w:r w:rsidRPr="00CB798F">
        <w:rPr>
          <w:rFonts w:ascii="Times New Roman" w:hAnsi="Times New Roman" w:cs="Times New Roman"/>
          <w:sz w:val="24"/>
          <w:szCs w:val="24"/>
        </w:rPr>
        <w:t xml:space="preserve">, Centra </w:t>
      </w:r>
      <w:r w:rsidR="00DF1FD7" w:rsidRPr="00CB798F">
        <w:rPr>
          <w:rFonts w:ascii="Times New Roman" w:hAnsi="Times New Roman" w:cs="Times New Roman"/>
          <w:sz w:val="24"/>
          <w:szCs w:val="24"/>
        </w:rPr>
        <w:t xml:space="preserve">za zaštitu bilja, Centra za sjemenarstvo i rasadničarstvo, Centra za tlo, Centra za sigurnost hrane, Ureda ravnatelja te Sektora za podršku poslovnim procesima i samostalnih službi. </w:t>
      </w:r>
      <w:r w:rsidR="007C2A4E" w:rsidRPr="00CB798F">
        <w:rPr>
          <w:rFonts w:ascii="Times New Roman" w:hAnsi="Times New Roman" w:cs="Times New Roman"/>
          <w:sz w:val="24"/>
          <w:szCs w:val="24"/>
        </w:rPr>
        <w:t>Unutar aktivnosti Opremanje i Informatizacija financiraju se sve nabave dugotrajne imovine Agencije.</w:t>
      </w:r>
    </w:p>
    <w:p w:rsidR="00240643" w:rsidRPr="00CB798F" w:rsidRDefault="00240643" w:rsidP="00624C16">
      <w:pPr>
        <w:spacing w:line="240" w:lineRule="auto"/>
        <w:jc w:val="both"/>
        <w:rPr>
          <w:rFonts w:ascii="Times New Roman" w:hAnsi="Times New Roman" w:cs="Times New Roman"/>
          <w:sz w:val="24"/>
          <w:szCs w:val="24"/>
        </w:rPr>
      </w:pPr>
      <w:bookmarkStart w:id="0" w:name="_GoBack"/>
      <w:bookmarkEnd w:id="0"/>
    </w:p>
    <w:p w:rsidR="00F471E7" w:rsidRDefault="0016270C" w:rsidP="0016270C">
      <w:pPr>
        <w:spacing w:line="240" w:lineRule="auto"/>
        <w:jc w:val="both"/>
        <w:rPr>
          <w:rFonts w:ascii="Times New Roman" w:hAnsi="Times New Roman" w:cs="Times New Roman"/>
          <w:b/>
          <w:sz w:val="24"/>
          <w:szCs w:val="24"/>
        </w:rPr>
      </w:pPr>
      <w:r w:rsidRPr="0016270C">
        <w:rPr>
          <w:rFonts w:ascii="Times New Roman" w:hAnsi="Times New Roman" w:cs="Times New Roman"/>
          <w:b/>
          <w:sz w:val="24"/>
          <w:szCs w:val="24"/>
        </w:rPr>
        <w:t>OBRAZLOŽENJE OSTVARENOG PRIJENOSA SREDSTAVA IZ PRETHODNE GODINE I PRIJENOSA SREDSTAVA U SLIJEDEĆU GODINU</w:t>
      </w:r>
    </w:p>
    <w:tbl>
      <w:tblPr>
        <w:tblStyle w:val="TableGrid"/>
        <w:tblW w:w="0" w:type="auto"/>
        <w:tblLook w:val="04A0" w:firstRow="1" w:lastRow="0" w:firstColumn="1" w:lastColumn="0" w:noHBand="0" w:noVBand="1"/>
      </w:tblPr>
      <w:tblGrid>
        <w:gridCol w:w="1737"/>
        <w:gridCol w:w="1552"/>
        <w:gridCol w:w="1563"/>
        <w:gridCol w:w="1553"/>
        <w:gridCol w:w="1332"/>
        <w:gridCol w:w="1325"/>
      </w:tblGrid>
      <w:tr w:rsidR="00DC7A90" w:rsidTr="00DC7A90">
        <w:tc>
          <w:tcPr>
            <w:tcW w:w="1689" w:type="dxa"/>
          </w:tcPr>
          <w:p w:rsidR="00DC7A90" w:rsidRPr="00240643" w:rsidRDefault="00DC7A90" w:rsidP="0016270C">
            <w:pPr>
              <w:jc w:val="both"/>
              <w:rPr>
                <w:rFonts w:ascii="Times New Roman" w:hAnsi="Times New Roman" w:cs="Times New Roman"/>
                <w:b/>
                <w:sz w:val="24"/>
                <w:szCs w:val="24"/>
              </w:rPr>
            </w:pPr>
          </w:p>
        </w:tc>
        <w:tc>
          <w:tcPr>
            <w:tcW w:w="1568" w:type="dxa"/>
          </w:tcPr>
          <w:p w:rsidR="00DC7A90" w:rsidRPr="00240643" w:rsidRDefault="00DC7A90" w:rsidP="00DC7A90">
            <w:pPr>
              <w:jc w:val="center"/>
              <w:rPr>
                <w:rFonts w:ascii="Times New Roman" w:hAnsi="Times New Roman" w:cs="Times New Roman"/>
                <w:b/>
                <w:sz w:val="24"/>
                <w:szCs w:val="24"/>
              </w:rPr>
            </w:pPr>
            <w:r w:rsidRPr="00240643">
              <w:rPr>
                <w:rFonts w:ascii="Times New Roman" w:hAnsi="Times New Roman" w:cs="Times New Roman"/>
                <w:b/>
                <w:sz w:val="24"/>
                <w:szCs w:val="24"/>
              </w:rPr>
              <w:t>IZVOR 31</w:t>
            </w:r>
          </w:p>
        </w:tc>
        <w:tc>
          <w:tcPr>
            <w:tcW w:w="1568" w:type="dxa"/>
          </w:tcPr>
          <w:p w:rsidR="00DC7A90" w:rsidRPr="00240643" w:rsidRDefault="00DC7A90" w:rsidP="00DC7A90">
            <w:pPr>
              <w:jc w:val="center"/>
              <w:rPr>
                <w:rFonts w:ascii="Times New Roman" w:hAnsi="Times New Roman" w:cs="Times New Roman"/>
                <w:b/>
                <w:sz w:val="24"/>
                <w:szCs w:val="24"/>
              </w:rPr>
            </w:pPr>
            <w:r w:rsidRPr="00240643">
              <w:rPr>
                <w:rFonts w:ascii="Times New Roman" w:hAnsi="Times New Roman" w:cs="Times New Roman"/>
                <w:b/>
                <w:sz w:val="24"/>
                <w:szCs w:val="24"/>
              </w:rPr>
              <w:t>IZVOR 43</w:t>
            </w:r>
          </w:p>
        </w:tc>
        <w:tc>
          <w:tcPr>
            <w:tcW w:w="1569" w:type="dxa"/>
          </w:tcPr>
          <w:p w:rsidR="00DC7A90" w:rsidRPr="00240643" w:rsidRDefault="00DC7A90" w:rsidP="00DC7A90">
            <w:pPr>
              <w:jc w:val="center"/>
              <w:rPr>
                <w:rFonts w:ascii="Times New Roman" w:hAnsi="Times New Roman" w:cs="Times New Roman"/>
                <w:b/>
                <w:sz w:val="24"/>
                <w:szCs w:val="24"/>
              </w:rPr>
            </w:pPr>
            <w:r w:rsidRPr="00240643">
              <w:rPr>
                <w:rFonts w:ascii="Times New Roman" w:hAnsi="Times New Roman" w:cs="Times New Roman"/>
                <w:b/>
                <w:sz w:val="24"/>
                <w:szCs w:val="24"/>
              </w:rPr>
              <w:t>IZVOR 51</w:t>
            </w:r>
          </w:p>
        </w:tc>
        <w:tc>
          <w:tcPr>
            <w:tcW w:w="1334" w:type="dxa"/>
          </w:tcPr>
          <w:p w:rsidR="00DC7A90" w:rsidRPr="00240643" w:rsidRDefault="00DC7A90" w:rsidP="00DC7A90">
            <w:pPr>
              <w:jc w:val="center"/>
              <w:rPr>
                <w:rFonts w:ascii="Times New Roman" w:hAnsi="Times New Roman" w:cs="Times New Roman"/>
                <w:b/>
                <w:sz w:val="24"/>
                <w:szCs w:val="24"/>
              </w:rPr>
            </w:pPr>
            <w:r w:rsidRPr="00240643">
              <w:rPr>
                <w:rFonts w:ascii="Times New Roman" w:hAnsi="Times New Roman" w:cs="Times New Roman"/>
                <w:b/>
                <w:sz w:val="24"/>
                <w:szCs w:val="24"/>
              </w:rPr>
              <w:t>IZVOR 52</w:t>
            </w:r>
          </w:p>
        </w:tc>
        <w:tc>
          <w:tcPr>
            <w:tcW w:w="1334" w:type="dxa"/>
          </w:tcPr>
          <w:p w:rsidR="00DC7A90" w:rsidRPr="00240643" w:rsidRDefault="00DC7A90" w:rsidP="00DC7A90">
            <w:pPr>
              <w:jc w:val="center"/>
              <w:rPr>
                <w:rFonts w:ascii="Times New Roman" w:hAnsi="Times New Roman" w:cs="Times New Roman"/>
                <w:b/>
                <w:sz w:val="24"/>
                <w:szCs w:val="24"/>
              </w:rPr>
            </w:pPr>
            <w:r w:rsidRPr="00240643">
              <w:rPr>
                <w:rFonts w:ascii="Times New Roman" w:hAnsi="Times New Roman" w:cs="Times New Roman"/>
                <w:b/>
                <w:sz w:val="24"/>
                <w:szCs w:val="24"/>
              </w:rPr>
              <w:t>IZVOR 71</w:t>
            </w:r>
          </w:p>
        </w:tc>
      </w:tr>
      <w:tr w:rsidR="00DC7A90" w:rsidTr="00DC7A90">
        <w:tc>
          <w:tcPr>
            <w:tcW w:w="1689" w:type="dxa"/>
          </w:tcPr>
          <w:p w:rsidR="00DC7A90" w:rsidRPr="00240643" w:rsidRDefault="00DC7A90" w:rsidP="00DC7A90">
            <w:pPr>
              <w:rPr>
                <w:rFonts w:ascii="Times New Roman" w:hAnsi="Times New Roman" w:cs="Times New Roman"/>
                <w:b/>
                <w:sz w:val="24"/>
                <w:szCs w:val="24"/>
              </w:rPr>
            </w:pPr>
            <w:r w:rsidRPr="00240643">
              <w:rPr>
                <w:rFonts w:ascii="Times New Roman" w:hAnsi="Times New Roman" w:cs="Times New Roman"/>
                <w:b/>
                <w:sz w:val="24"/>
                <w:szCs w:val="24"/>
              </w:rPr>
              <w:t>PRIJENOS SREDSTAVA IZ PRETHODNE GODINE</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218.432,42</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286.113,05</w:t>
            </w:r>
          </w:p>
        </w:tc>
        <w:tc>
          <w:tcPr>
            <w:tcW w:w="1569"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398.376,49</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275.760,99</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66.733,40</w:t>
            </w:r>
          </w:p>
        </w:tc>
      </w:tr>
      <w:tr w:rsidR="00DC7A90" w:rsidTr="00DC7A90">
        <w:tc>
          <w:tcPr>
            <w:tcW w:w="1689" w:type="dxa"/>
          </w:tcPr>
          <w:p w:rsidR="00DC7A90" w:rsidRPr="00240643" w:rsidRDefault="00DC7A90" w:rsidP="00DC7A90">
            <w:pPr>
              <w:rPr>
                <w:rFonts w:ascii="Times New Roman" w:hAnsi="Times New Roman" w:cs="Times New Roman"/>
                <w:b/>
                <w:sz w:val="24"/>
                <w:szCs w:val="24"/>
              </w:rPr>
            </w:pPr>
            <w:r w:rsidRPr="00240643">
              <w:rPr>
                <w:rFonts w:ascii="Times New Roman" w:hAnsi="Times New Roman" w:cs="Times New Roman"/>
                <w:b/>
                <w:sz w:val="24"/>
                <w:szCs w:val="24"/>
              </w:rPr>
              <w:t>UPLAĆENO U 2024. GODINI</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661.898,71</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2.035.180,64</w:t>
            </w:r>
          </w:p>
        </w:tc>
        <w:tc>
          <w:tcPr>
            <w:tcW w:w="1569"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296.167,49</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302.864,91</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0,00</w:t>
            </w:r>
          </w:p>
        </w:tc>
      </w:tr>
      <w:tr w:rsidR="00DC7A90" w:rsidTr="00DC7A90">
        <w:tc>
          <w:tcPr>
            <w:tcW w:w="1689" w:type="dxa"/>
          </w:tcPr>
          <w:p w:rsidR="00DC7A90" w:rsidRPr="00240643" w:rsidRDefault="00DC7A90" w:rsidP="00DC7A90">
            <w:pPr>
              <w:rPr>
                <w:rFonts w:ascii="Times New Roman" w:hAnsi="Times New Roman" w:cs="Times New Roman"/>
                <w:b/>
                <w:sz w:val="24"/>
                <w:szCs w:val="24"/>
              </w:rPr>
            </w:pPr>
            <w:r w:rsidRPr="00240643">
              <w:rPr>
                <w:rFonts w:ascii="Times New Roman" w:hAnsi="Times New Roman" w:cs="Times New Roman"/>
                <w:b/>
                <w:sz w:val="24"/>
                <w:szCs w:val="24"/>
              </w:rPr>
              <w:t>UTROŠENO U 2024. GODINI</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789.783,44</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2.112.878,49</w:t>
            </w:r>
          </w:p>
        </w:tc>
        <w:tc>
          <w:tcPr>
            <w:tcW w:w="1569"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335.311,69</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83.415,83</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66.733,40</w:t>
            </w:r>
          </w:p>
        </w:tc>
      </w:tr>
      <w:tr w:rsidR="00DC7A90" w:rsidTr="00DC7A90">
        <w:tc>
          <w:tcPr>
            <w:tcW w:w="1689" w:type="dxa"/>
          </w:tcPr>
          <w:p w:rsidR="00DC7A90" w:rsidRPr="00240643" w:rsidRDefault="00DC7A90" w:rsidP="00DC7A90">
            <w:pPr>
              <w:rPr>
                <w:rFonts w:ascii="Times New Roman" w:hAnsi="Times New Roman" w:cs="Times New Roman"/>
                <w:b/>
                <w:bCs/>
                <w:sz w:val="24"/>
                <w:szCs w:val="24"/>
              </w:rPr>
            </w:pPr>
            <w:r w:rsidRPr="00240643">
              <w:rPr>
                <w:rFonts w:ascii="Times New Roman" w:hAnsi="Times New Roman" w:cs="Times New Roman"/>
                <w:b/>
                <w:bCs/>
                <w:sz w:val="24"/>
                <w:szCs w:val="24"/>
              </w:rPr>
              <w:t>PRIJENOS SREDSTAVA U SLJEDEĆE RAZDOBLJE</w:t>
            </w:r>
          </w:p>
          <w:p w:rsidR="00DC7A90" w:rsidRPr="00240643" w:rsidRDefault="00DC7A90" w:rsidP="00DC7A90">
            <w:pPr>
              <w:rPr>
                <w:rFonts w:ascii="Times New Roman" w:hAnsi="Times New Roman" w:cs="Times New Roman"/>
                <w:b/>
                <w:sz w:val="24"/>
                <w:szCs w:val="24"/>
              </w:rPr>
            </w:pP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90.547,69</w:t>
            </w:r>
          </w:p>
        </w:tc>
        <w:tc>
          <w:tcPr>
            <w:tcW w:w="1568" w:type="dxa"/>
            <w:vAlign w:val="center"/>
          </w:tcPr>
          <w:p w:rsidR="00DC7A90" w:rsidRPr="00240643" w:rsidRDefault="00DC7A90" w:rsidP="00DC7A90">
            <w:pPr>
              <w:jc w:val="right"/>
              <w:rPr>
                <w:rFonts w:ascii="Times New Roman" w:hAnsi="Times New Roman" w:cs="Times New Roman"/>
                <w:sz w:val="24"/>
                <w:szCs w:val="24"/>
              </w:rPr>
            </w:pPr>
            <w:r w:rsidRPr="00240643">
              <w:rPr>
                <w:rFonts w:ascii="Times New Roman" w:hAnsi="Times New Roman" w:cs="Times New Roman"/>
                <w:sz w:val="24"/>
                <w:szCs w:val="24"/>
              </w:rPr>
              <w:t>208.415,20</w:t>
            </w:r>
          </w:p>
        </w:tc>
        <w:tc>
          <w:tcPr>
            <w:tcW w:w="1569" w:type="dxa"/>
            <w:vAlign w:val="center"/>
          </w:tcPr>
          <w:p w:rsidR="00240643" w:rsidRPr="00240643" w:rsidRDefault="00240643" w:rsidP="00240643">
            <w:pPr>
              <w:jc w:val="right"/>
              <w:rPr>
                <w:rFonts w:ascii="Times New Roman" w:hAnsi="Times New Roman" w:cs="Times New Roman"/>
                <w:sz w:val="24"/>
                <w:szCs w:val="24"/>
              </w:rPr>
            </w:pPr>
            <w:r w:rsidRPr="00240643">
              <w:rPr>
                <w:rFonts w:ascii="Times New Roman" w:hAnsi="Times New Roman" w:cs="Times New Roman"/>
                <w:sz w:val="24"/>
                <w:szCs w:val="24"/>
              </w:rPr>
              <w:t>359.232,29</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495.210,07</w:t>
            </w:r>
          </w:p>
        </w:tc>
        <w:tc>
          <w:tcPr>
            <w:tcW w:w="1334" w:type="dxa"/>
            <w:vAlign w:val="center"/>
          </w:tcPr>
          <w:p w:rsidR="00DC7A90" w:rsidRPr="00240643" w:rsidRDefault="00240643" w:rsidP="00DC7A90">
            <w:pPr>
              <w:jc w:val="right"/>
              <w:rPr>
                <w:rFonts w:ascii="Times New Roman" w:hAnsi="Times New Roman" w:cs="Times New Roman"/>
                <w:sz w:val="24"/>
                <w:szCs w:val="24"/>
              </w:rPr>
            </w:pPr>
            <w:r w:rsidRPr="00240643">
              <w:rPr>
                <w:rFonts w:ascii="Times New Roman" w:hAnsi="Times New Roman" w:cs="Times New Roman"/>
                <w:sz w:val="24"/>
                <w:szCs w:val="24"/>
              </w:rPr>
              <w:t>0,00</w:t>
            </w:r>
          </w:p>
        </w:tc>
      </w:tr>
    </w:tbl>
    <w:p w:rsidR="00DC7A90" w:rsidRPr="0016270C" w:rsidRDefault="00DC7A90" w:rsidP="0016270C">
      <w:pPr>
        <w:spacing w:line="240" w:lineRule="auto"/>
        <w:jc w:val="both"/>
        <w:rPr>
          <w:rFonts w:ascii="Times New Roman" w:hAnsi="Times New Roman" w:cs="Times New Roman"/>
          <w:b/>
          <w:sz w:val="24"/>
          <w:szCs w:val="24"/>
        </w:rPr>
      </w:pPr>
    </w:p>
    <w:sectPr w:rsidR="00DC7A90" w:rsidRPr="001627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43FD7"/>
    <w:multiLevelType w:val="hybridMultilevel"/>
    <w:tmpl w:val="56102C3A"/>
    <w:lvl w:ilvl="0" w:tplc="CCFEC904">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A1C"/>
    <w:rsid w:val="00017E05"/>
    <w:rsid w:val="00023EE2"/>
    <w:rsid w:val="00054CCC"/>
    <w:rsid w:val="00072E9F"/>
    <w:rsid w:val="000D0A1C"/>
    <w:rsid w:val="00122F34"/>
    <w:rsid w:val="00122F74"/>
    <w:rsid w:val="00127EB4"/>
    <w:rsid w:val="00152338"/>
    <w:rsid w:val="00157ED7"/>
    <w:rsid w:val="0016270C"/>
    <w:rsid w:val="00186B7B"/>
    <w:rsid w:val="00190FB2"/>
    <w:rsid w:val="001D0226"/>
    <w:rsid w:val="001D5928"/>
    <w:rsid w:val="00210218"/>
    <w:rsid w:val="00240643"/>
    <w:rsid w:val="00245B1D"/>
    <w:rsid w:val="00281198"/>
    <w:rsid w:val="0029735D"/>
    <w:rsid w:val="00297F7A"/>
    <w:rsid w:val="003A22DB"/>
    <w:rsid w:val="00407290"/>
    <w:rsid w:val="00410259"/>
    <w:rsid w:val="00420E2E"/>
    <w:rsid w:val="0043322D"/>
    <w:rsid w:val="00466878"/>
    <w:rsid w:val="00467D12"/>
    <w:rsid w:val="004E1B45"/>
    <w:rsid w:val="004F0E1A"/>
    <w:rsid w:val="004F6BD3"/>
    <w:rsid w:val="00516C8E"/>
    <w:rsid w:val="005527A0"/>
    <w:rsid w:val="0055613F"/>
    <w:rsid w:val="005722A3"/>
    <w:rsid w:val="00584534"/>
    <w:rsid w:val="005C1418"/>
    <w:rsid w:val="00605080"/>
    <w:rsid w:val="0061478A"/>
    <w:rsid w:val="00624C16"/>
    <w:rsid w:val="006462FC"/>
    <w:rsid w:val="00647A1B"/>
    <w:rsid w:val="00670FE4"/>
    <w:rsid w:val="006E08C5"/>
    <w:rsid w:val="0072334A"/>
    <w:rsid w:val="0074143B"/>
    <w:rsid w:val="00783F2F"/>
    <w:rsid w:val="007C2A4E"/>
    <w:rsid w:val="007F7A9B"/>
    <w:rsid w:val="008273F4"/>
    <w:rsid w:val="00847759"/>
    <w:rsid w:val="00886D68"/>
    <w:rsid w:val="008A29FD"/>
    <w:rsid w:val="008D7869"/>
    <w:rsid w:val="0094274B"/>
    <w:rsid w:val="0094280D"/>
    <w:rsid w:val="00974268"/>
    <w:rsid w:val="00975BA7"/>
    <w:rsid w:val="0098095A"/>
    <w:rsid w:val="009B4994"/>
    <w:rsid w:val="009D15A0"/>
    <w:rsid w:val="009D7CA0"/>
    <w:rsid w:val="009E3C31"/>
    <w:rsid w:val="00A24D2E"/>
    <w:rsid w:val="00A6255B"/>
    <w:rsid w:val="00AA0DFE"/>
    <w:rsid w:val="00AC288F"/>
    <w:rsid w:val="00AE2812"/>
    <w:rsid w:val="00B232BA"/>
    <w:rsid w:val="00B512E7"/>
    <w:rsid w:val="00B7793B"/>
    <w:rsid w:val="00B825B3"/>
    <w:rsid w:val="00BB00CD"/>
    <w:rsid w:val="00BF44C6"/>
    <w:rsid w:val="00BF5418"/>
    <w:rsid w:val="00C2628B"/>
    <w:rsid w:val="00CA12E2"/>
    <w:rsid w:val="00CB798F"/>
    <w:rsid w:val="00CD2501"/>
    <w:rsid w:val="00CE4978"/>
    <w:rsid w:val="00D019AB"/>
    <w:rsid w:val="00D12F13"/>
    <w:rsid w:val="00DB2A63"/>
    <w:rsid w:val="00DB4B20"/>
    <w:rsid w:val="00DC7A90"/>
    <w:rsid w:val="00DD2586"/>
    <w:rsid w:val="00DE6AC1"/>
    <w:rsid w:val="00DF1FD7"/>
    <w:rsid w:val="00DF778D"/>
    <w:rsid w:val="00DF7F0A"/>
    <w:rsid w:val="00E31C3F"/>
    <w:rsid w:val="00E34EA9"/>
    <w:rsid w:val="00E5651E"/>
    <w:rsid w:val="00E74D93"/>
    <w:rsid w:val="00EE7A63"/>
    <w:rsid w:val="00F471E7"/>
    <w:rsid w:val="00F70550"/>
    <w:rsid w:val="00FE6B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88572"/>
  <w15:chartTrackingRefBased/>
  <w15:docId w15:val="{1E9B1B47-3560-4932-BAAB-B450A5EE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7C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2">
    <w:name w:val="T-9/8-2"/>
    <w:basedOn w:val="Normal"/>
    <w:uiPriority w:val="99"/>
    <w:rsid w:val="00CB798F"/>
    <w:pPr>
      <w:widowControl w:val="0"/>
      <w:tabs>
        <w:tab w:val="left" w:pos="2153"/>
      </w:tabs>
      <w:suppressAutoHyphens/>
      <w:autoSpaceDE w:val="0"/>
      <w:autoSpaceDN w:val="0"/>
      <w:spacing w:after="43" w:line="240" w:lineRule="auto"/>
      <w:ind w:firstLine="342"/>
      <w:jc w:val="both"/>
      <w:textAlignment w:val="baseline"/>
    </w:pPr>
    <w:rPr>
      <w:rFonts w:ascii="Times-NewRoman" w:eastAsia="Times New Roman" w:hAnsi="Times-NewRoman" w:cs="Times New Roman"/>
      <w:sz w:val="19"/>
      <w:szCs w:val="19"/>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78986">
      <w:bodyDiv w:val="1"/>
      <w:marLeft w:val="0"/>
      <w:marRight w:val="0"/>
      <w:marTop w:val="0"/>
      <w:marBottom w:val="0"/>
      <w:divBdr>
        <w:top w:val="none" w:sz="0" w:space="0" w:color="auto"/>
        <w:left w:val="none" w:sz="0" w:space="0" w:color="auto"/>
        <w:bottom w:val="none" w:sz="0" w:space="0" w:color="auto"/>
        <w:right w:val="none" w:sz="0" w:space="0" w:color="auto"/>
      </w:divBdr>
    </w:div>
    <w:div w:id="1292982009">
      <w:bodyDiv w:val="1"/>
      <w:marLeft w:val="0"/>
      <w:marRight w:val="0"/>
      <w:marTop w:val="0"/>
      <w:marBottom w:val="0"/>
      <w:divBdr>
        <w:top w:val="none" w:sz="0" w:space="0" w:color="auto"/>
        <w:left w:val="none" w:sz="0" w:space="0" w:color="auto"/>
        <w:bottom w:val="none" w:sz="0" w:space="0" w:color="auto"/>
        <w:right w:val="none" w:sz="0" w:space="0" w:color="auto"/>
      </w:divBdr>
    </w:div>
    <w:div w:id="1404644737">
      <w:bodyDiv w:val="1"/>
      <w:marLeft w:val="0"/>
      <w:marRight w:val="0"/>
      <w:marTop w:val="0"/>
      <w:marBottom w:val="0"/>
      <w:divBdr>
        <w:top w:val="none" w:sz="0" w:space="0" w:color="auto"/>
        <w:left w:val="none" w:sz="0" w:space="0" w:color="auto"/>
        <w:bottom w:val="none" w:sz="0" w:space="0" w:color="auto"/>
        <w:right w:val="none" w:sz="0" w:space="0" w:color="auto"/>
      </w:divBdr>
    </w:div>
    <w:div w:id="1669627313">
      <w:bodyDiv w:val="1"/>
      <w:marLeft w:val="0"/>
      <w:marRight w:val="0"/>
      <w:marTop w:val="0"/>
      <w:marBottom w:val="0"/>
      <w:divBdr>
        <w:top w:val="none" w:sz="0" w:space="0" w:color="auto"/>
        <w:left w:val="none" w:sz="0" w:space="0" w:color="auto"/>
        <w:bottom w:val="none" w:sz="0" w:space="0" w:color="auto"/>
        <w:right w:val="none" w:sz="0" w:space="0" w:color="auto"/>
      </w:divBdr>
    </w:div>
    <w:div w:id="1843743257">
      <w:bodyDiv w:val="1"/>
      <w:marLeft w:val="0"/>
      <w:marRight w:val="0"/>
      <w:marTop w:val="0"/>
      <w:marBottom w:val="0"/>
      <w:divBdr>
        <w:top w:val="none" w:sz="0" w:space="0" w:color="auto"/>
        <w:left w:val="none" w:sz="0" w:space="0" w:color="auto"/>
        <w:bottom w:val="none" w:sz="0" w:space="0" w:color="auto"/>
        <w:right w:val="none" w:sz="0" w:space="0" w:color="auto"/>
      </w:divBdr>
    </w:div>
    <w:div w:id="20285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4</Pages>
  <Words>1386</Words>
  <Characters>7905</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Brozić Puček</dc:creator>
  <cp:keywords/>
  <dc:description/>
  <cp:lastModifiedBy>Danijela Grbić Mihaljević</cp:lastModifiedBy>
  <cp:revision>5</cp:revision>
  <dcterms:created xsi:type="dcterms:W3CDTF">2025-03-19T09:04:00Z</dcterms:created>
  <dcterms:modified xsi:type="dcterms:W3CDTF">2025-03-20T10:33:00Z</dcterms:modified>
</cp:coreProperties>
</file>